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08" w:type="dxa"/>
        <w:tblLook w:val="01E0"/>
      </w:tblPr>
      <w:tblGrid>
        <w:gridCol w:w="9324"/>
        <w:gridCol w:w="222"/>
        <w:gridCol w:w="14"/>
        <w:gridCol w:w="208"/>
        <w:gridCol w:w="14"/>
      </w:tblGrid>
      <w:tr w:rsidR="00732235" w:rsidRPr="005A16BD" w:rsidTr="002B5C99">
        <w:tc>
          <w:tcPr>
            <w:tcW w:w="9324" w:type="dxa"/>
          </w:tcPr>
          <w:tbl>
            <w:tblPr>
              <w:tblW w:w="9000" w:type="dxa"/>
              <w:tblInd w:w="108" w:type="dxa"/>
              <w:tblLook w:val="01E0"/>
            </w:tblPr>
            <w:tblGrid>
              <w:gridCol w:w="2824"/>
              <w:gridCol w:w="236"/>
              <w:gridCol w:w="5940"/>
            </w:tblGrid>
            <w:tr w:rsidR="00732235" w:rsidRPr="005A16BD" w:rsidTr="00732235">
              <w:tc>
                <w:tcPr>
                  <w:tcW w:w="2824" w:type="dxa"/>
                </w:tcPr>
                <w:p w:rsidR="00732235" w:rsidRPr="005A16BD" w:rsidRDefault="00732235" w:rsidP="00732235">
                  <w:pPr>
                    <w:jc w:val="center"/>
                    <w:rPr>
                      <w:b/>
                      <w:sz w:val="26"/>
                      <w:szCs w:val="26"/>
                    </w:rPr>
                  </w:pPr>
                  <w:r w:rsidRPr="005A16BD">
                    <w:rPr>
                      <w:b/>
                      <w:sz w:val="26"/>
                      <w:szCs w:val="26"/>
                    </w:rPr>
                    <w:t>BỘ TÀI CHÍNH</w:t>
                  </w:r>
                </w:p>
                <w:p w:rsidR="00732235" w:rsidRPr="005A16BD" w:rsidRDefault="00843561" w:rsidP="00732235">
                  <w:pPr>
                    <w:jc w:val="center"/>
                    <w:rPr>
                      <w:sz w:val="28"/>
                      <w:szCs w:val="28"/>
                    </w:rPr>
                  </w:pPr>
                  <w:r w:rsidRPr="005A16BD">
                    <w:rPr>
                      <w:b/>
                      <w:noProof/>
                      <w:sz w:val="28"/>
                      <w:szCs w:val="28"/>
                    </w:rPr>
                    <w:pict>
                      <v:line id="_x0000_s1036" style="position:absolute;left:0;text-align:left;z-index:251658752" from="45pt,4.2pt" to="90pt,4.2pt"/>
                    </w:pict>
                  </w:r>
                </w:p>
                <w:p w:rsidR="00732235" w:rsidRPr="005A16BD" w:rsidRDefault="00732235" w:rsidP="00732235">
                  <w:pPr>
                    <w:rPr>
                      <w:sz w:val="26"/>
                      <w:szCs w:val="26"/>
                    </w:rPr>
                  </w:pPr>
                </w:p>
              </w:tc>
              <w:tc>
                <w:tcPr>
                  <w:tcW w:w="236" w:type="dxa"/>
                </w:tcPr>
                <w:p w:rsidR="00732235" w:rsidRPr="005A16BD" w:rsidRDefault="00732235" w:rsidP="00732235">
                  <w:pPr>
                    <w:jc w:val="center"/>
                    <w:rPr>
                      <w:b/>
                      <w:sz w:val="28"/>
                      <w:szCs w:val="28"/>
                    </w:rPr>
                  </w:pPr>
                </w:p>
              </w:tc>
              <w:tc>
                <w:tcPr>
                  <w:tcW w:w="5940" w:type="dxa"/>
                </w:tcPr>
                <w:p w:rsidR="00732235" w:rsidRPr="005A16BD" w:rsidRDefault="00732235" w:rsidP="00732235">
                  <w:pPr>
                    <w:jc w:val="center"/>
                    <w:rPr>
                      <w:b/>
                      <w:sz w:val="26"/>
                      <w:szCs w:val="26"/>
                    </w:rPr>
                  </w:pPr>
                  <w:r w:rsidRPr="005A16BD">
                    <w:rPr>
                      <w:b/>
                      <w:sz w:val="26"/>
                      <w:szCs w:val="26"/>
                    </w:rPr>
                    <w:t>CỘNG HOÀ XÃ HỘI CHỦ NGHĨA VIỆT NA</w:t>
                  </w:r>
                  <w:r w:rsidR="00664111" w:rsidRPr="005A16BD">
                    <w:rPr>
                      <w:b/>
                      <w:sz w:val="26"/>
                      <w:szCs w:val="26"/>
                    </w:rPr>
                    <w:t>M</w:t>
                  </w:r>
                </w:p>
                <w:p w:rsidR="00732235" w:rsidRPr="005A16BD" w:rsidRDefault="00843561" w:rsidP="006B2680">
                  <w:pPr>
                    <w:spacing w:before="40"/>
                    <w:jc w:val="center"/>
                    <w:rPr>
                      <w:b/>
                      <w:sz w:val="28"/>
                      <w:szCs w:val="28"/>
                    </w:rPr>
                  </w:pPr>
                  <w:r w:rsidRPr="005A16BD">
                    <w:rPr>
                      <w:b/>
                      <w:noProof/>
                      <w:sz w:val="28"/>
                      <w:szCs w:val="28"/>
                    </w:rPr>
                    <w:pict>
                      <v:line id="_x0000_s1035" style="position:absolute;left:0;text-align:left;z-index:251657728" from="62.65pt,21.05pt" to="224.65pt,21.05pt"/>
                    </w:pict>
                  </w:r>
                  <w:r w:rsidR="00732235" w:rsidRPr="005A16BD">
                    <w:rPr>
                      <w:b/>
                      <w:sz w:val="28"/>
                      <w:szCs w:val="28"/>
                    </w:rPr>
                    <w:t xml:space="preserve"> Độc lập - Tự do - Hạnh phúc</w:t>
                  </w:r>
                </w:p>
              </w:tc>
            </w:tr>
            <w:tr w:rsidR="00732235" w:rsidRPr="005A16BD" w:rsidTr="00732235">
              <w:tc>
                <w:tcPr>
                  <w:tcW w:w="2824" w:type="dxa"/>
                </w:tcPr>
                <w:p w:rsidR="00732235" w:rsidRPr="005A16BD" w:rsidRDefault="00732235" w:rsidP="00A717C7">
                  <w:pPr>
                    <w:spacing w:before="120"/>
                    <w:jc w:val="center"/>
                    <w:rPr>
                      <w:sz w:val="28"/>
                      <w:szCs w:val="28"/>
                    </w:rPr>
                  </w:pPr>
                  <w:r w:rsidRPr="005A16BD">
                    <w:rPr>
                      <w:sz w:val="28"/>
                      <w:szCs w:val="28"/>
                    </w:rPr>
                    <w:t>Số:</w:t>
                  </w:r>
                  <w:r w:rsidR="006C6806" w:rsidRPr="005A16BD">
                    <w:rPr>
                      <w:sz w:val="28"/>
                      <w:szCs w:val="28"/>
                    </w:rPr>
                    <w:t xml:space="preserve">   </w:t>
                  </w:r>
                  <w:r w:rsidR="004711DA" w:rsidRPr="005A16BD">
                    <w:rPr>
                      <w:sz w:val="28"/>
                      <w:szCs w:val="28"/>
                    </w:rPr>
                    <w:t xml:space="preserve"> </w:t>
                  </w:r>
                  <w:r w:rsidRPr="005A16BD">
                    <w:rPr>
                      <w:sz w:val="28"/>
                      <w:szCs w:val="28"/>
                    </w:rPr>
                    <w:t>/20</w:t>
                  </w:r>
                  <w:r w:rsidR="00CC1662" w:rsidRPr="005A16BD">
                    <w:rPr>
                      <w:sz w:val="28"/>
                      <w:szCs w:val="28"/>
                    </w:rPr>
                    <w:t>2</w:t>
                  </w:r>
                  <w:r w:rsidR="00A717C7" w:rsidRPr="005A16BD">
                    <w:rPr>
                      <w:sz w:val="28"/>
                      <w:szCs w:val="28"/>
                    </w:rPr>
                    <w:t>5</w:t>
                  </w:r>
                  <w:r w:rsidRPr="005A16BD">
                    <w:rPr>
                      <w:sz w:val="28"/>
                      <w:szCs w:val="28"/>
                    </w:rPr>
                    <w:t>/TT-BTC</w:t>
                  </w:r>
                </w:p>
              </w:tc>
              <w:tc>
                <w:tcPr>
                  <w:tcW w:w="236" w:type="dxa"/>
                </w:tcPr>
                <w:p w:rsidR="00732235" w:rsidRPr="005A16BD" w:rsidRDefault="00732235" w:rsidP="00732235">
                  <w:pPr>
                    <w:jc w:val="center"/>
                    <w:rPr>
                      <w:i/>
                      <w:sz w:val="28"/>
                      <w:szCs w:val="28"/>
                    </w:rPr>
                  </w:pPr>
                </w:p>
              </w:tc>
              <w:tc>
                <w:tcPr>
                  <w:tcW w:w="5940" w:type="dxa"/>
                  <w:vAlign w:val="bottom"/>
                </w:tcPr>
                <w:p w:rsidR="00732235" w:rsidRPr="005A16BD" w:rsidRDefault="00732235" w:rsidP="00A717C7">
                  <w:pPr>
                    <w:jc w:val="center"/>
                    <w:rPr>
                      <w:sz w:val="28"/>
                      <w:szCs w:val="28"/>
                    </w:rPr>
                  </w:pPr>
                  <w:r w:rsidRPr="005A16BD">
                    <w:rPr>
                      <w:i/>
                      <w:sz w:val="28"/>
                      <w:szCs w:val="28"/>
                    </w:rPr>
                    <w:t xml:space="preserve"> Hà Nội, ngày</w:t>
                  </w:r>
                  <w:r w:rsidR="006C6806" w:rsidRPr="005A16BD">
                    <w:rPr>
                      <w:i/>
                      <w:sz w:val="28"/>
                      <w:szCs w:val="28"/>
                    </w:rPr>
                    <w:t xml:space="preserve">   </w:t>
                  </w:r>
                  <w:r w:rsidRPr="005A16BD">
                    <w:rPr>
                      <w:i/>
                      <w:sz w:val="28"/>
                      <w:szCs w:val="28"/>
                    </w:rPr>
                    <w:t xml:space="preserve"> tháng</w:t>
                  </w:r>
                  <w:r w:rsidR="006C6806" w:rsidRPr="005A16BD">
                    <w:rPr>
                      <w:i/>
                      <w:sz w:val="28"/>
                      <w:szCs w:val="28"/>
                    </w:rPr>
                    <w:t xml:space="preserve">  </w:t>
                  </w:r>
                  <w:r w:rsidRPr="005A16BD">
                    <w:rPr>
                      <w:i/>
                      <w:sz w:val="28"/>
                      <w:szCs w:val="28"/>
                    </w:rPr>
                    <w:t xml:space="preserve"> năm 20</w:t>
                  </w:r>
                  <w:r w:rsidR="00CC1662" w:rsidRPr="005A16BD">
                    <w:rPr>
                      <w:i/>
                      <w:sz w:val="28"/>
                      <w:szCs w:val="28"/>
                    </w:rPr>
                    <w:t>2</w:t>
                  </w:r>
                  <w:r w:rsidR="00A717C7" w:rsidRPr="005A16BD">
                    <w:rPr>
                      <w:i/>
                      <w:sz w:val="28"/>
                      <w:szCs w:val="28"/>
                    </w:rPr>
                    <w:t>5</w:t>
                  </w:r>
                </w:p>
              </w:tc>
            </w:tr>
          </w:tbl>
          <w:p w:rsidR="00732235" w:rsidRPr="005A16BD" w:rsidRDefault="00732235"/>
        </w:tc>
        <w:tc>
          <w:tcPr>
            <w:tcW w:w="236" w:type="dxa"/>
            <w:gridSpan w:val="2"/>
          </w:tcPr>
          <w:p w:rsidR="00732235" w:rsidRPr="005A16BD" w:rsidRDefault="00732235" w:rsidP="00FF5299">
            <w:pPr>
              <w:jc w:val="center"/>
              <w:rPr>
                <w:i/>
                <w:sz w:val="28"/>
                <w:szCs w:val="28"/>
              </w:rPr>
            </w:pPr>
          </w:p>
        </w:tc>
        <w:tc>
          <w:tcPr>
            <w:tcW w:w="222" w:type="dxa"/>
            <w:gridSpan w:val="2"/>
          </w:tcPr>
          <w:p w:rsidR="00732235" w:rsidRPr="005A16BD" w:rsidRDefault="00732235" w:rsidP="00EC4725">
            <w:pPr>
              <w:jc w:val="center"/>
              <w:rPr>
                <w:sz w:val="28"/>
                <w:szCs w:val="28"/>
              </w:rPr>
            </w:pPr>
          </w:p>
        </w:tc>
      </w:tr>
      <w:tr w:rsidR="00732235" w:rsidRPr="005A16BD" w:rsidTr="002B5C99">
        <w:tblPrEx>
          <w:jc w:val="center"/>
          <w:tblLook w:val="04A0"/>
        </w:tblPrEx>
        <w:trPr>
          <w:gridAfter w:val="1"/>
          <w:wAfter w:w="14" w:type="dxa"/>
          <w:jc w:val="center"/>
        </w:trPr>
        <w:tc>
          <w:tcPr>
            <w:tcW w:w="9546" w:type="dxa"/>
            <w:gridSpan w:val="2"/>
          </w:tcPr>
          <w:tbl>
            <w:tblPr>
              <w:tblStyle w:val="TableGrid"/>
              <w:tblpPr w:leftFromText="180" w:rightFromText="180" w:vertAnchor="text" w:horzAnchor="margin" w:tblpY="170"/>
              <w:tblW w:w="0" w:type="auto"/>
              <w:tblLook w:val="04A0"/>
            </w:tblPr>
            <w:tblGrid>
              <w:gridCol w:w="1526"/>
            </w:tblGrid>
            <w:tr w:rsidR="00F7021E" w:rsidRPr="005A16BD" w:rsidTr="00F7021E">
              <w:trPr>
                <w:trHeight w:val="527"/>
              </w:trPr>
              <w:tc>
                <w:tcPr>
                  <w:tcW w:w="1526" w:type="dxa"/>
                </w:tcPr>
                <w:p w:rsidR="00F7021E" w:rsidRPr="005A16BD" w:rsidRDefault="008B3FED" w:rsidP="008B3FED">
                  <w:pPr>
                    <w:tabs>
                      <w:tab w:val="center" w:pos="655"/>
                    </w:tabs>
                    <w:spacing w:before="120" w:line="276" w:lineRule="auto"/>
                    <w:rPr>
                      <w:b/>
                      <w:sz w:val="28"/>
                      <w:szCs w:val="28"/>
                    </w:rPr>
                  </w:pPr>
                  <w:r w:rsidRPr="005A16BD">
                    <w:rPr>
                      <w:b/>
                      <w:sz w:val="28"/>
                      <w:szCs w:val="28"/>
                    </w:rPr>
                    <w:tab/>
                  </w:r>
                  <w:r w:rsidR="00F7021E" w:rsidRPr="005A16BD">
                    <w:rPr>
                      <w:b/>
                      <w:sz w:val="28"/>
                      <w:szCs w:val="28"/>
                    </w:rPr>
                    <w:t>Dự thảo 2</w:t>
                  </w:r>
                </w:p>
              </w:tc>
            </w:tr>
          </w:tbl>
          <w:p w:rsidR="00732235" w:rsidRPr="005A16BD" w:rsidRDefault="00732235"/>
        </w:tc>
        <w:tc>
          <w:tcPr>
            <w:tcW w:w="222" w:type="dxa"/>
            <w:gridSpan w:val="2"/>
          </w:tcPr>
          <w:p w:rsidR="00732235" w:rsidRPr="005A16BD" w:rsidRDefault="00732235" w:rsidP="00814D27">
            <w:pPr>
              <w:jc w:val="center"/>
              <w:rPr>
                <w:i/>
                <w:sz w:val="28"/>
                <w:szCs w:val="28"/>
              </w:rPr>
            </w:pPr>
          </w:p>
        </w:tc>
      </w:tr>
    </w:tbl>
    <w:p w:rsidR="0034446B" w:rsidRPr="005A16BD" w:rsidRDefault="0034446B" w:rsidP="00CB3FF9">
      <w:pPr>
        <w:spacing w:before="120"/>
        <w:ind w:firstLine="720"/>
        <w:contextualSpacing/>
        <w:jc w:val="center"/>
        <w:rPr>
          <w:b/>
          <w:sz w:val="28"/>
          <w:szCs w:val="28"/>
        </w:rPr>
      </w:pPr>
    </w:p>
    <w:p w:rsidR="002F18EB" w:rsidRPr="005A16BD" w:rsidRDefault="002F18EB" w:rsidP="00CB3FF9">
      <w:pPr>
        <w:spacing w:before="120"/>
        <w:ind w:firstLine="720"/>
        <w:contextualSpacing/>
        <w:jc w:val="center"/>
        <w:rPr>
          <w:b/>
          <w:sz w:val="28"/>
          <w:szCs w:val="28"/>
        </w:rPr>
      </w:pPr>
      <w:r w:rsidRPr="005A16BD">
        <w:rPr>
          <w:b/>
          <w:sz w:val="28"/>
          <w:szCs w:val="28"/>
        </w:rPr>
        <w:t>THÔNG TƯ</w:t>
      </w:r>
    </w:p>
    <w:p w:rsidR="002F18EB" w:rsidRPr="005A16BD" w:rsidRDefault="00835370" w:rsidP="008B3FED">
      <w:pPr>
        <w:spacing w:before="120"/>
        <w:ind w:firstLine="720"/>
        <w:contextualSpacing/>
        <w:jc w:val="center"/>
        <w:rPr>
          <w:b/>
          <w:spacing w:val="2"/>
          <w:sz w:val="28"/>
          <w:szCs w:val="28"/>
        </w:rPr>
      </w:pPr>
      <w:r w:rsidRPr="005A16BD">
        <w:rPr>
          <w:b/>
          <w:spacing w:val="2"/>
          <w:sz w:val="28"/>
          <w:szCs w:val="28"/>
        </w:rPr>
        <w:t>Sửa đổi, bổ sung một số điều của</w:t>
      </w:r>
      <w:r w:rsidR="008831A7" w:rsidRPr="005A16BD">
        <w:rPr>
          <w:b/>
          <w:spacing w:val="2"/>
          <w:sz w:val="28"/>
          <w:szCs w:val="28"/>
        </w:rPr>
        <w:t xml:space="preserve"> </w:t>
      </w:r>
      <w:r w:rsidR="00A12C43" w:rsidRPr="005A16BD">
        <w:rPr>
          <w:b/>
          <w:spacing w:val="2"/>
          <w:sz w:val="28"/>
          <w:szCs w:val="28"/>
        </w:rPr>
        <w:t xml:space="preserve">Thông tư số 01/2018/TT-BTC ngày 02 tháng 01 năm 2018 của Bộ </w:t>
      </w:r>
      <w:r w:rsidRPr="005A16BD">
        <w:rPr>
          <w:b/>
          <w:spacing w:val="2"/>
          <w:sz w:val="28"/>
          <w:szCs w:val="28"/>
        </w:rPr>
        <w:t xml:space="preserve">trưởng Bộ </w:t>
      </w:r>
      <w:r w:rsidR="00A12C43" w:rsidRPr="005A16BD">
        <w:rPr>
          <w:b/>
          <w:spacing w:val="2"/>
          <w:sz w:val="28"/>
          <w:szCs w:val="28"/>
        </w:rPr>
        <w:t xml:space="preserve">Tài chính quy định việc quản lý và sử dụng kinh phí bảo đảm trật tự an toàn giao thông và Thông tư số 28/2019/TT-BTC ngày 21 tháng 5 năm 2019 của </w:t>
      </w:r>
      <w:r w:rsidR="008B3FED" w:rsidRPr="005A16BD">
        <w:rPr>
          <w:b/>
          <w:spacing w:val="2"/>
          <w:sz w:val="28"/>
          <w:szCs w:val="28"/>
        </w:rPr>
        <w:t xml:space="preserve">Bộ trưởng Bộ Tài chính </w:t>
      </w:r>
      <w:r w:rsidR="00A12C43" w:rsidRPr="005A16BD">
        <w:rPr>
          <w:b/>
          <w:spacing w:val="2"/>
          <w:sz w:val="28"/>
          <w:szCs w:val="28"/>
        </w:rPr>
        <w:t>sửa đổi, bổ sung Thông tư số 01/2018/TT-BTC</w:t>
      </w:r>
    </w:p>
    <w:p w:rsidR="0034446B" w:rsidRPr="005A16BD" w:rsidRDefault="00843561" w:rsidP="00CB3FF9">
      <w:pPr>
        <w:spacing w:before="120"/>
        <w:ind w:firstLine="720"/>
        <w:contextualSpacing/>
        <w:jc w:val="center"/>
        <w:rPr>
          <w:spacing w:val="2"/>
        </w:rPr>
      </w:pPr>
      <w:r w:rsidRPr="005A16BD">
        <w:rPr>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71pt;margin-top:7.45pt;width:138.9pt;height:.05pt;z-index:251656704" o:connectortype="straight"/>
        </w:pict>
      </w:r>
    </w:p>
    <w:p w:rsidR="00CB3FF9" w:rsidRPr="005A16BD" w:rsidRDefault="00CB3FF9" w:rsidP="006C6806">
      <w:pPr>
        <w:spacing w:before="120"/>
        <w:ind w:firstLine="720"/>
        <w:contextualSpacing/>
        <w:jc w:val="center"/>
        <w:rPr>
          <w:i/>
          <w:sz w:val="28"/>
          <w:szCs w:val="28"/>
          <w:lang w:val="nl-NL"/>
        </w:rPr>
      </w:pPr>
    </w:p>
    <w:p w:rsidR="00835370" w:rsidRPr="005A16BD" w:rsidRDefault="00835370" w:rsidP="00F7021E">
      <w:pPr>
        <w:spacing w:before="120"/>
        <w:ind w:firstLine="720"/>
        <w:jc w:val="both"/>
        <w:rPr>
          <w:i/>
          <w:sz w:val="28"/>
          <w:szCs w:val="28"/>
          <w:lang w:val="nl-NL"/>
        </w:rPr>
      </w:pPr>
      <w:r w:rsidRPr="005A16BD">
        <w:rPr>
          <w:i/>
          <w:sz w:val="28"/>
          <w:szCs w:val="28"/>
          <w:lang w:val="nl-NL"/>
        </w:rPr>
        <w:t>Căn cứ Luật Ngân sách nhà nước ngày 25 tháng 6 năm 2015;</w:t>
      </w:r>
    </w:p>
    <w:p w:rsidR="00835370" w:rsidRPr="005A16BD" w:rsidRDefault="00835370" w:rsidP="00F7021E">
      <w:pPr>
        <w:spacing w:before="120"/>
        <w:ind w:firstLine="720"/>
        <w:jc w:val="both"/>
        <w:rPr>
          <w:i/>
          <w:sz w:val="28"/>
          <w:szCs w:val="28"/>
          <w:lang w:val="nl-NL"/>
        </w:rPr>
      </w:pPr>
      <w:r w:rsidRPr="005A16BD">
        <w:rPr>
          <w:i/>
          <w:sz w:val="28"/>
          <w:szCs w:val="28"/>
          <w:lang w:val="nl-NL"/>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835370" w:rsidRPr="005A16BD" w:rsidRDefault="00835370" w:rsidP="00F7021E">
      <w:pPr>
        <w:spacing w:before="120"/>
        <w:ind w:firstLine="720"/>
        <w:jc w:val="both"/>
        <w:rPr>
          <w:i/>
          <w:spacing w:val="-6"/>
          <w:sz w:val="28"/>
          <w:szCs w:val="28"/>
          <w:lang w:val="nl-NL"/>
        </w:rPr>
      </w:pPr>
      <w:r w:rsidRPr="005A16BD">
        <w:rPr>
          <w:i/>
          <w:spacing w:val="-6"/>
          <w:sz w:val="28"/>
          <w:szCs w:val="28"/>
          <w:lang w:val="nl-NL"/>
        </w:rPr>
        <w:t xml:space="preserve">Căn cứ Nghị định </w:t>
      </w:r>
      <w:r w:rsidRPr="005A16BD">
        <w:rPr>
          <w:i/>
          <w:spacing w:val="-6"/>
          <w:sz w:val="28"/>
          <w:szCs w:val="28"/>
          <w:lang w:val="vi-VN"/>
        </w:rPr>
        <w:t xml:space="preserve">số </w:t>
      </w:r>
      <w:r w:rsidRPr="005A16BD">
        <w:rPr>
          <w:i/>
          <w:spacing w:val="-6"/>
          <w:sz w:val="28"/>
          <w:szCs w:val="28"/>
          <w:lang w:val="nl-NL"/>
        </w:rPr>
        <w:t>29/2025/NĐ-CP ngày 24 tháng 02 n</w:t>
      </w:r>
      <w:r w:rsidRPr="005A16BD">
        <w:rPr>
          <w:rFonts w:hint="eastAsia"/>
          <w:i/>
          <w:spacing w:val="-6"/>
          <w:sz w:val="28"/>
          <w:szCs w:val="28"/>
          <w:lang w:val="nl-NL"/>
        </w:rPr>
        <w:t>ă</w:t>
      </w:r>
      <w:r w:rsidRPr="005A16BD">
        <w:rPr>
          <w:i/>
          <w:spacing w:val="-6"/>
          <w:sz w:val="28"/>
          <w:szCs w:val="28"/>
          <w:lang w:val="nl-NL"/>
        </w:rPr>
        <w:t>m 2025 của Chính phủ quy định chức năng, nhiệm vụ, quyền hạn và cơ cấu tổ chức của Bộ Tài chính;</w:t>
      </w:r>
    </w:p>
    <w:p w:rsidR="00835370" w:rsidRPr="005A16BD" w:rsidRDefault="00835370" w:rsidP="00F7021E">
      <w:pPr>
        <w:spacing w:before="120"/>
        <w:ind w:firstLine="720"/>
        <w:jc w:val="both"/>
        <w:rPr>
          <w:sz w:val="28"/>
          <w:lang w:val="sv-SE"/>
        </w:rPr>
      </w:pPr>
      <w:r w:rsidRPr="005A16BD">
        <w:rPr>
          <w:i/>
          <w:iCs/>
          <w:sz w:val="28"/>
          <w:lang w:val="sv-SE"/>
        </w:rPr>
        <w:t>Căn cứ Quyết định số 22/2017/QĐ-TTg ngày 22 tháng 6 năm 2017 của Thủ tướng Chính phủ về tổ chức và hoạt động của Ủy ban An toàn giao thông Quốc gia và Ban An toàn giao thông tỉnh, thành phố trực thuộc Trung ương;</w:t>
      </w:r>
    </w:p>
    <w:p w:rsidR="00CE2F08" w:rsidRPr="005A16BD" w:rsidRDefault="00CE2F08" w:rsidP="00F7021E">
      <w:pPr>
        <w:pStyle w:val="BodyText2"/>
        <w:spacing w:before="120" w:after="0" w:line="240" w:lineRule="auto"/>
        <w:ind w:firstLine="720"/>
        <w:jc w:val="both"/>
        <w:rPr>
          <w:i/>
          <w:sz w:val="28"/>
          <w:szCs w:val="28"/>
          <w:lang w:val="nl-NL"/>
        </w:rPr>
      </w:pPr>
      <w:r w:rsidRPr="005A16BD">
        <w:rPr>
          <w:i/>
          <w:sz w:val="28"/>
          <w:szCs w:val="28"/>
          <w:lang w:val="nl-NL"/>
        </w:rPr>
        <w:t>Theo đề nghị của Vụ trưởng Vụ Tài chính</w:t>
      </w:r>
      <w:r w:rsidR="00CB3FF9" w:rsidRPr="005A16BD">
        <w:rPr>
          <w:i/>
          <w:sz w:val="28"/>
          <w:szCs w:val="28"/>
          <w:lang w:val="nl-NL"/>
        </w:rPr>
        <w:t xml:space="preserve"> - K</w:t>
      </w:r>
      <w:r w:rsidR="009C5E14" w:rsidRPr="005A16BD">
        <w:rPr>
          <w:i/>
          <w:sz w:val="28"/>
          <w:szCs w:val="28"/>
          <w:lang w:val="nl-NL"/>
        </w:rPr>
        <w:t>inh tế ngành</w:t>
      </w:r>
      <w:r w:rsidRPr="005A16BD">
        <w:rPr>
          <w:i/>
          <w:sz w:val="28"/>
          <w:szCs w:val="28"/>
          <w:lang w:val="nl-NL"/>
        </w:rPr>
        <w:t>;</w:t>
      </w:r>
    </w:p>
    <w:p w:rsidR="00D46A9E" w:rsidRPr="005A16BD" w:rsidRDefault="00CE2F08" w:rsidP="00CB3FF9">
      <w:pPr>
        <w:spacing w:before="120"/>
        <w:ind w:firstLine="720"/>
        <w:jc w:val="both"/>
        <w:rPr>
          <w:i/>
          <w:sz w:val="28"/>
          <w:szCs w:val="28"/>
          <w:lang w:val="nl-NL"/>
        </w:rPr>
      </w:pPr>
      <w:r w:rsidRPr="005A16BD">
        <w:rPr>
          <w:i/>
          <w:sz w:val="28"/>
          <w:szCs w:val="28"/>
          <w:lang w:val="nl-NL"/>
        </w:rPr>
        <w:t xml:space="preserve">Bộ trưởng Bộ Tài chính ban hành </w:t>
      </w:r>
      <w:r w:rsidR="004711DA" w:rsidRPr="005A16BD">
        <w:rPr>
          <w:i/>
          <w:sz w:val="28"/>
          <w:szCs w:val="28"/>
          <w:lang w:val="nl-NL"/>
        </w:rPr>
        <w:t>Thôn</w:t>
      </w:r>
      <w:r w:rsidR="00536AB0" w:rsidRPr="005A16BD">
        <w:rPr>
          <w:i/>
          <w:sz w:val="28"/>
          <w:szCs w:val="28"/>
          <w:lang w:val="nl-NL"/>
        </w:rPr>
        <w:t xml:space="preserve">g tư </w:t>
      </w:r>
      <w:r w:rsidR="00D46A9E" w:rsidRPr="005A16BD">
        <w:rPr>
          <w:i/>
          <w:sz w:val="28"/>
          <w:szCs w:val="28"/>
          <w:lang w:val="nl-NL"/>
        </w:rPr>
        <w:t xml:space="preserve">sửa đổi, bổ sung một số điều của Thông tư số 01/2018/TT-BTC ngày 02 tháng 01 năm 2018 của Bộ trưởng Bộ Tài chính quy định việc quản lý và sử dụng kinh phí bảo đảm trật tự an toàn giao thông </w:t>
      </w:r>
      <w:r w:rsidR="00152296" w:rsidRPr="005A16BD">
        <w:rPr>
          <w:i/>
          <w:sz w:val="28"/>
          <w:szCs w:val="28"/>
          <w:lang w:val="nl-NL"/>
        </w:rPr>
        <w:t xml:space="preserve">(sau đây viết tắt là Thông tư số 01/2018/TT-BTC) </w:t>
      </w:r>
      <w:r w:rsidR="00D46A9E" w:rsidRPr="005A16BD">
        <w:rPr>
          <w:i/>
          <w:sz w:val="28"/>
          <w:szCs w:val="28"/>
          <w:lang w:val="nl-NL"/>
        </w:rPr>
        <w:t>và Thông tư số 28/2019/TT-BTC ngày 21 tháng 5 năm 2019 của Bộ trưởng Bộ Tài chính sửa đổi, bổ sung Thông tư số 01/2018/TT-BTC</w:t>
      </w:r>
      <w:r w:rsidR="00152296" w:rsidRPr="005A16BD">
        <w:rPr>
          <w:i/>
          <w:sz w:val="28"/>
          <w:szCs w:val="28"/>
          <w:lang w:val="nl-NL"/>
        </w:rPr>
        <w:t xml:space="preserve"> (sau đây viết tắt là Thông tư số 28/2019/TT-BTC)</w:t>
      </w:r>
      <w:r w:rsidR="00D46A9E" w:rsidRPr="005A16BD">
        <w:rPr>
          <w:i/>
          <w:sz w:val="28"/>
          <w:szCs w:val="28"/>
          <w:lang w:val="nl-NL"/>
        </w:rPr>
        <w:t>.</w:t>
      </w:r>
    </w:p>
    <w:p w:rsidR="00763D00" w:rsidRPr="005A16BD" w:rsidRDefault="00763D00" w:rsidP="00CB3FF9">
      <w:pPr>
        <w:spacing w:before="120"/>
        <w:ind w:firstLine="720"/>
        <w:jc w:val="both"/>
        <w:rPr>
          <w:i/>
          <w:sz w:val="28"/>
          <w:szCs w:val="28"/>
          <w:lang w:val="nl-NL"/>
        </w:rPr>
      </w:pPr>
    </w:p>
    <w:p w:rsidR="00CB3FF9" w:rsidRPr="005A16BD" w:rsidRDefault="006451F8" w:rsidP="00F7021E">
      <w:pPr>
        <w:spacing w:before="120"/>
        <w:ind w:firstLine="720"/>
        <w:jc w:val="both"/>
        <w:rPr>
          <w:b/>
          <w:bCs/>
          <w:sz w:val="28"/>
        </w:rPr>
      </w:pPr>
      <w:r w:rsidRPr="005A16BD">
        <w:rPr>
          <w:b/>
          <w:bCs/>
          <w:sz w:val="28"/>
        </w:rPr>
        <w:t xml:space="preserve">Điều 1. </w:t>
      </w:r>
      <w:r w:rsidR="00E62192" w:rsidRPr="005A16BD">
        <w:rPr>
          <w:b/>
          <w:spacing w:val="2"/>
          <w:sz w:val="28"/>
          <w:szCs w:val="28"/>
        </w:rPr>
        <w:t>Sửa đổi, bổ sung một số điều của Thông tư số 01/2018/TT-BTC</w:t>
      </w:r>
      <w:r w:rsidR="006C6806" w:rsidRPr="005A16BD">
        <w:rPr>
          <w:b/>
          <w:spacing w:val="2"/>
          <w:sz w:val="28"/>
          <w:szCs w:val="28"/>
        </w:rPr>
        <w:t xml:space="preserve"> </w:t>
      </w:r>
      <w:r w:rsidR="00152296" w:rsidRPr="005A16BD">
        <w:rPr>
          <w:b/>
          <w:spacing w:val="2"/>
          <w:sz w:val="28"/>
          <w:szCs w:val="28"/>
        </w:rPr>
        <w:t xml:space="preserve">và </w:t>
      </w:r>
      <w:r w:rsidR="00152296" w:rsidRPr="005A16BD">
        <w:rPr>
          <w:b/>
          <w:sz w:val="28"/>
          <w:szCs w:val="28"/>
          <w:lang w:val="nl-NL"/>
        </w:rPr>
        <w:t>Thông tư số 28/2019/TT-BTC</w:t>
      </w:r>
    </w:p>
    <w:p w:rsidR="00E62192" w:rsidRPr="005A16BD" w:rsidRDefault="00E62192" w:rsidP="00F7021E">
      <w:pPr>
        <w:spacing w:before="120"/>
        <w:ind w:firstLine="720"/>
        <w:jc w:val="both"/>
        <w:rPr>
          <w:bCs/>
          <w:sz w:val="28"/>
        </w:rPr>
      </w:pPr>
      <w:r w:rsidRPr="005A16BD">
        <w:rPr>
          <w:bCs/>
          <w:sz w:val="28"/>
        </w:rPr>
        <w:t>1. Điều 1 được sửa đổi, bổ sung như sau:</w:t>
      </w:r>
    </w:p>
    <w:p w:rsidR="006451F8" w:rsidRPr="005A16BD" w:rsidRDefault="00D46A9E" w:rsidP="00F7021E">
      <w:pPr>
        <w:spacing w:before="120"/>
        <w:ind w:firstLine="720"/>
        <w:jc w:val="both"/>
        <w:rPr>
          <w:b/>
          <w:bCs/>
          <w:sz w:val="28"/>
        </w:rPr>
      </w:pPr>
      <w:r w:rsidRPr="005A16BD">
        <w:rPr>
          <w:b/>
          <w:bCs/>
          <w:sz w:val="28"/>
        </w:rPr>
        <w:t>“</w:t>
      </w:r>
      <w:r w:rsidRPr="005A16BD">
        <w:rPr>
          <w:bCs/>
          <w:sz w:val="28"/>
        </w:rPr>
        <w:t xml:space="preserve">Điều 1. </w:t>
      </w:r>
      <w:r w:rsidR="006451F8" w:rsidRPr="005A16BD">
        <w:rPr>
          <w:bCs/>
          <w:sz w:val="28"/>
        </w:rPr>
        <w:t>Phạm vi điều chỉnh và đối tượng áp dụng</w:t>
      </w:r>
    </w:p>
    <w:p w:rsidR="006451F8" w:rsidRPr="005A16BD" w:rsidRDefault="006451F8" w:rsidP="00F7021E">
      <w:pPr>
        <w:spacing w:before="120"/>
        <w:ind w:firstLine="720"/>
        <w:jc w:val="both"/>
        <w:rPr>
          <w:bCs/>
          <w:sz w:val="28"/>
        </w:rPr>
      </w:pPr>
      <w:r w:rsidRPr="005A16BD">
        <w:rPr>
          <w:bCs/>
          <w:sz w:val="28"/>
        </w:rPr>
        <w:t>1. Phạm vi điều chỉnh</w:t>
      </w:r>
    </w:p>
    <w:p w:rsidR="006451F8" w:rsidRPr="005A16BD" w:rsidRDefault="006451F8" w:rsidP="00F7021E">
      <w:pPr>
        <w:spacing w:before="120"/>
        <w:ind w:firstLine="720"/>
        <w:jc w:val="both"/>
        <w:rPr>
          <w:sz w:val="28"/>
        </w:rPr>
      </w:pPr>
      <w:r w:rsidRPr="005A16BD">
        <w:rPr>
          <w:sz w:val="28"/>
        </w:rPr>
        <w:lastRenderedPageBreak/>
        <w:t>a) Thông tư này quy định việc quản lý và sử dụng kinh phí bảo đảm trật tự an toàn giao thông (sau đây viết tắt là TTATGT).</w:t>
      </w:r>
    </w:p>
    <w:p w:rsidR="00D46A9E" w:rsidRPr="005A16BD" w:rsidRDefault="006451F8" w:rsidP="00F7021E">
      <w:pPr>
        <w:spacing w:before="120"/>
        <w:ind w:firstLine="720"/>
        <w:jc w:val="both"/>
        <w:rPr>
          <w:sz w:val="28"/>
          <w:szCs w:val="28"/>
          <w:lang w:val="it-IT"/>
        </w:rPr>
      </w:pPr>
      <w:r w:rsidRPr="005A16BD">
        <w:rPr>
          <w:sz w:val="28"/>
          <w:szCs w:val="28"/>
          <w:lang w:val="it-IT"/>
        </w:rPr>
        <w:t>b) Thông tư này không điều chỉnh đối với</w:t>
      </w:r>
      <w:r w:rsidR="00D46A9E" w:rsidRPr="005A16BD">
        <w:rPr>
          <w:sz w:val="28"/>
          <w:szCs w:val="28"/>
          <w:lang w:val="it-IT"/>
        </w:rPr>
        <w:t xml:space="preserve"> các nguồn kinh phí sau:</w:t>
      </w:r>
    </w:p>
    <w:p w:rsidR="0095064D" w:rsidRPr="005A16BD" w:rsidRDefault="00D46A9E" w:rsidP="00F7021E">
      <w:pPr>
        <w:spacing w:before="120"/>
        <w:ind w:firstLine="720"/>
        <w:jc w:val="both"/>
        <w:rPr>
          <w:sz w:val="28"/>
          <w:szCs w:val="28"/>
          <w:lang w:val="it-IT"/>
        </w:rPr>
      </w:pPr>
      <w:r w:rsidRPr="005A16BD">
        <w:rPr>
          <w:sz w:val="28"/>
          <w:szCs w:val="28"/>
          <w:lang w:val="it-IT"/>
        </w:rPr>
        <w:t>N</w:t>
      </w:r>
      <w:r w:rsidR="006451F8" w:rsidRPr="005A16BD">
        <w:rPr>
          <w:sz w:val="28"/>
          <w:szCs w:val="28"/>
          <w:lang w:val="it-IT"/>
        </w:rPr>
        <w:t xml:space="preserve">guồn kinh phí đảm bảo hoạt động của Văn phòng Ủy ban An toàn giao thông Quốc gia và Văn phòng Ban An toàn giao thông tỉnh, thành phố trực thuộc trung ương theo biên chế được cấp có thẩm quyền giao và định mức phân bổ chi quản lý hành chính quy định tại Quyết định </w:t>
      </w:r>
      <w:r w:rsidR="006451F8" w:rsidRPr="005A16BD">
        <w:rPr>
          <w:sz w:val="28"/>
          <w:szCs w:val="28"/>
          <w:lang w:val="nl-NL"/>
        </w:rPr>
        <w:t>của Thủ tướng Chính phủ về định mức phân bổ dự toán chi thường xuyên</w:t>
      </w:r>
      <w:r w:rsidR="006451F8" w:rsidRPr="005A16BD">
        <w:rPr>
          <w:sz w:val="28"/>
          <w:szCs w:val="28"/>
          <w:lang w:val="it-IT"/>
        </w:rPr>
        <w:t>.</w:t>
      </w:r>
    </w:p>
    <w:p w:rsidR="00D46A9E" w:rsidRPr="005A16BD" w:rsidRDefault="00D46A9E" w:rsidP="00F7021E">
      <w:pPr>
        <w:spacing w:before="120"/>
        <w:ind w:firstLine="720"/>
        <w:jc w:val="both"/>
        <w:rPr>
          <w:sz w:val="28"/>
          <w:szCs w:val="28"/>
          <w:lang w:val="it-IT"/>
        </w:rPr>
      </w:pPr>
      <w:r w:rsidRPr="005A16BD">
        <w:rPr>
          <w:sz w:val="28"/>
          <w:szCs w:val="28"/>
          <w:lang w:val="it-IT"/>
        </w:rPr>
        <w:t xml:space="preserve">Nguồn kinh phí thu từ xử phạt vi phạm hành chính về </w:t>
      </w:r>
      <w:r w:rsidR="00586709" w:rsidRPr="005A16BD">
        <w:rPr>
          <w:sz w:val="28"/>
          <w:szCs w:val="28"/>
          <w:lang w:val="it-IT"/>
        </w:rPr>
        <w:t>trật tự, an toàn giao thông đường</w:t>
      </w:r>
      <w:r w:rsidRPr="005A16BD">
        <w:rPr>
          <w:sz w:val="28"/>
          <w:szCs w:val="28"/>
          <w:lang w:val="it-IT"/>
        </w:rPr>
        <w:t xml:space="preserve"> bộ và đấu giá biển số xe sau khi nộp vào ngân sách nhà nước: Thực hiện theo quy định tại Nghị định số 176/2024/NĐ-CP ngày 30 tháng 12 năm 2024 của Chính phủ quy định </w:t>
      </w:r>
      <w:r w:rsidR="00586709" w:rsidRPr="005A16BD">
        <w:rPr>
          <w:sz w:val="28"/>
          <w:szCs w:val="28"/>
          <w:lang w:val="it-IT"/>
        </w:rPr>
        <w:t xml:space="preserve">quản lý, sử dụng </w:t>
      </w:r>
      <w:r w:rsidRPr="005A16BD">
        <w:rPr>
          <w:sz w:val="28"/>
          <w:szCs w:val="28"/>
          <w:lang w:val="it-IT"/>
        </w:rPr>
        <w:t xml:space="preserve">kinh phí thu </w:t>
      </w:r>
      <w:r w:rsidR="00586709" w:rsidRPr="005A16BD">
        <w:rPr>
          <w:sz w:val="28"/>
          <w:szCs w:val="28"/>
          <w:lang w:val="it-IT"/>
        </w:rPr>
        <w:t xml:space="preserve">từ </w:t>
      </w:r>
      <w:r w:rsidRPr="005A16BD">
        <w:rPr>
          <w:sz w:val="28"/>
          <w:szCs w:val="28"/>
          <w:lang w:val="it-IT"/>
        </w:rPr>
        <w:t xml:space="preserve">xử phạt </w:t>
      </w:r>
      <w:r w:rsidR="00586709" w:rsidRPr="005A16BD">
        <w:rPr>
          <w:sz w:val="28"/>
          <w:szCs w:val="28"/>
          <w:lang w:val="it-IT"/>
        </w:rPr>
        <w:t>vi phạm hành chính về trật tự, an toàn giao thông đường bộ và đấu giá biển số xe sau khi nộp vào ngân sách nhà nước.</w:t>
      </w:r>
    </w:p>
    <w:p w:rsidR="006451F8" w:rsidRPr="005A16BD" w:rsidRDefault="006451F8" w:rsidP="00F7021E">
      <w:pPr>
        <w:spacing w:before="120"/>
        <w:ind w:firstLine="720"/>
        <w:jc w:val="both"/>
        <w:rPr>
          <w:sz w:val="28"/>
        </w:rPr>
      </w:pPr>
      <w:r w:rsidRPr="005A16BD">
        <w:rPr>
          <w:bCs/>
          <w:sz w:val="28"/>
        </w:rPr>
        <w:t>2. Đối tượng áp dụng</w:t>
      </w:r>
      <w:r w:rsidRPr="005A16BD">
        <w:rPr>
          <w:sz w:val="28"/>
        </w:rPr>
        <w:t xml:space="preserve">. </w:t>
      </w:r>
    </w:p>
    <w:p w:rsidR="006451F8" w:rsidRPr="005A16BD" w:rsidRDefault="006451F8" w:rsidP="00F7021E">
      <w:pPr>
        <w:spacing w:before="120"/>
        <w:ind w:firstLine="720"/>
        <w:jc w:val="both"/>
        <w:rPr>
          <w:sz w:val="28"/>
        </w:rPr>
      </w:pPr>
      <w:r w:rsidRPr="005A16BD">
        <w:rPr>
          <w:sz w:val="28"/>
        </w:rPr>
        <w:t xml:space="preserve">a) Ủy ban An toàn giao thông quốc gia; </w:t>
      </w:r>
    </w:p>
    <w:p w:rsidR="006451F8" w:rsidRPr="005A16BD" w:rsidRDefault="00586709" w:rsidP="00F7021E">
      <w:pPr>
        <w:spacing w:before="120"/>
        <w:ind w:firstLine="720"/>
        <w:jc w:val="both"/>
        <w:rPr>
          <w:sz w:val="28"/>
        </w:rPr>
      </w:pPr>
      <w:r w:rsidRPr="005A16BD">
        <w:rPr>
          <w:sz w:val="28"/>
        </w:rPr>
        <w:t>b) Bộ Xây dựng</w:t>
      </w:r>
      <w:r w:rsidR="006451F8" w:rsidRPr="005A16BD">
        <w:rPr>
          <w:sz w:val="28"/>
        </w:rPr>
        <w:t>, Bộ Công an, Hội đồng nhân dân và Ủy ban nhân dân các tỉnh, thành phố trực thuộc trung ương;</w:t>
      </w:r>
    </w:p>
    <w:p w:rsidR="006451F8" w:rsidRPr="005A16BD" w:rsidRDefault="006451F8" w:rsidP="00F7021E">
      <w:pPr>
        <w:spacing w:before="120"/>
        <w:ind w:firstLine="720"/>
        <w:jc w:val="both"/>
        <w:rPr>
          <w:strike/>
          <w:sz w:val="28"/>
        </w:rPr>
      </w:pPr>
      <w:r w:rsidRPr="005A16BD">
        <w:rPr>
          <w:sz w:val="28"/>
        </w:rPr>
        <w:t xml:space="preserve">c) Ban An toàn giao thông </w:t>
      </w:r>
      <w:r w:rsidRPr="005A16BD">
        <w:rPr>
          <w:iCs/>
          <w:sz w:val="28"/>
        </w:rPr>
        <w:t>tỉnh, thành phố trực thuộc trung ương;</w:t>
      </w:r>
    </w:p>
    <w:p w:rsidR="006451F8" w:rsidRPr="005A16BD" w:rsidRDefault="006451F8" w:rsidP="00F7021E">
      <w:pPr>
        <w:spacing w:before="120"/>
        <w:ind w:firstLine="720"/>
        <w:jc w:val="both"/>
        <w:rPr>
          <w:spacing w:val="-4"/>
          <w:sz w:val="28"/>
        </w:rPr>
      </w:pPr>
      <w:r w:rsidRPr="005A16BD">
        <w:rPr>
          <w:spacing w:val="-4"/>
          <w:sz w:val="28"/>
        </w:rPr>
        <w:t>d) Các lực lượng trực tiếp tham gia đảm bảo TTATGT trực thuộc B</w:t>
      </w:r>
      <w:r w:rsidR="00586709" w:rsidRPr="005A16BD">
        <w:rPr>
          <w:spacing w:val="-4"/>
          <w:sz w:val="28"/>
        </w:rPr>
        <w:t>ộ Công an, Bộ Xây dựng</w:t>
      </w:r>
      <w:r w:rsidRPr="005A16BD">
        <w:rPr>
          <w:spacing w:val="-4"/>
          <w:sz w:val="28"/>
        </w:rPr>
        <w:t xml:space="preserve"> và Ủy ban nhân dân tỉnh, thành phố trực thuộc trung ương;</w:t>
      </w:r>
    </w:p>
    <w:p w:rsidR="006451F8" w:rsidRPr="005A16BD" w:rsidRDefault="006451F8" w:rsidP="00F7021E">
      <w:pPr>
        <w:spacing w:before="120"/>
        <w:ind w:firstLine="720"/>
        <w:jc w:val="both"/>
        <w:rPr>
          <w:sz w:val="28"/>
        </w:rPr>
      </w:pPr>
      <w:r w:rsidRPr="005A16BD">
        <w:rPr>
          <w:sz w:val="28"/>
        </w:rPr>
        <w:t>đ) Các cơ quan, đơn vị, tổ chức, cá nhân khác có liên quan đến việc quản lý, sử dụng kinh phí bảo đảm TTATGT</w:t>
      </w:r>
      <w:r w:rsidR="00E62192" w:rsidRPr="005A16BD">
        <w:rPr>
          <w:sz w:val="28"/>
        </w:rPr>
        <w:t>”</w:t>
      </w:r>
      <w:r w:rsidRPr="005A16BD">
        <w:rPr>
          <w:sz w:val="28"/>
        </w:rPr>
        <w:t>.</w:t>
      </w:r>
    </w:p>
    <w:p w:rsidR="00E62192" w:rsidRPr="005A16BD" w:rsidRDefault="00E62192" w:rsidP="00F7021E">
      <w:pPr>
        <w:spacing w:before="120"/>
        <w:ind w:firstLine="720"/>
        <w:jc w:val="both"/>
        <w:rPr>
          <w:bCs/>
          <w:sz w:val="28"/>
        </w:rPr>
      </w:pPr>
      <w:r w:rsidRPr="005A16BD">
        <w:rPr>
          <w:bCs/>
          <w:sz w:val="28"/>
        </w:rPr>
        <w:t>2. Điều 2 được sửa đổi, bổ sung như sau:</w:t>
      </w:r>
    </w:p>
    <w:p w:rsidR="006451F8" w:rsidRPr="005A16BD" w:rsidRDefault="00586709" w:rsidP="00F7021E">
      <w:pPr>
        <w:spacing w:before="120"/>
        <w:ind w:firstLine="720"/>
        <w:jc w:val="both"/>
        <w:rPr>
          <w:b/>
          <w:sz w:val="28"/>
        </w:rPr>
      </w:pPr>
      <w:r w:rsidRPr="005A16BD">
        <w:rPr>
          <w:b/>
          <w:sz w:val="28"/>
        </w:rPr>
        <w:t>“</w:t>
      </w:r>
      <w:r w:rsidRPr="005A16BD">
        <w:rPr>
          <w:sz w:val="28"/>
        </w:rPr>
        <w:t xml:space="preserve">Điều 2. </w:t>
      </w:r>
      <w:r w:rsidR="006451F8" w:rsidRPr="005A16BD">
        <w:rPr>
          <w:sz w:val="28"/>
        </w:rPr>
        <w:t>Nguồn kinh phí bảo đảm TTATGT</w:t>
      </w:r>
    </w:p>
    <w:p w:rsidR="006451F8" w:rsidRPr="005A16BD" w:rsidRDefault="006451F8" w:rsidP="00F7021E">
      <w:pPr>
        <w:spacing w:before="120"/>
        <w:ind w:firstLine="720"/>
        <w:jc w:val="both"/>
        <w:rPr>
          <w:sz w:val="28"/>
        </w:rPr>
      </w:pPr>
      <w:r w:rsidRPr="005A16BD">
        <w:rPr>
          <w:sz w:val="28"/>
        </w:rPr>
        <w:t xml:space="preserve">1. Ngân sách nhà nước bố trí </w:t>
      </w:r>
      <w:r w:rsidR="00E62192" w:rsidRPr="005A16BD">
        <w:rPr>
          <w:sz w:val="28"/>
        </w:rPr>
        <w:t xml:space="preserve">trong dự toán chi thường xuyên của các Bộ, cơ quan trung ương và địa phương </w:t>
      </w:r>
      <w:r w:rsidRPr="005A16BD">
        <w:rPr>
          <w:sz w:val="28"/>
        </w:rPr>
        <w:t>theo phân cấp quản lý ngân sách hiện hành</w:t>
      </w:r>
      <w:r w:rsidR="00E62192" w:rsidRPr="005A16BD">
        <w:rPr>
          <w:sz w:val="28"/>
        </w:rPr>
        <w:t>.</w:t>
      </w:r>
      <w:r w:rsidRPr="005A16BD">
        <w:rPr>
          <w:sz w:val="28"/>
        </w:rPr>
        <w:t xml:space="preserve"> </w:t>
      </w:r>
    </w:p>
    <w:p w:rsidR="006451F8" w:rsidRPr="005A16BD" w:rsidRDefault="00586709" w:rsidP="00F7021E">
      <w:pPr>
        <w:spacing w:before="120"/>
        <w:ind w:firstLine="720"/>
        <w:jc w:val="both"/>
        <w:rPr>
          <w:sz w:val="28"/>
          <w:lang w:val="sv-SE"/>
        </w:rPr>
      </w:pPr>
      <w:r w:rsidRPr="005A16BD">
        <w:rPr>
          <w:sz w:val="28"/>
          <w:lang w:val="sv-SE"/>
        </w:rPr>
        <w:t>2</w:t>
      </w:r>
      <w:r w:rsidR="006451F8" w:rsidRPr="005A16BD">
        <w:rPr>
          <w:sz w:val="28"/>
          <w:lang w:val="sv-SE"/>
        </w:rPr>
        <w:t>. Các khoản hỗ trợ, viện trợ của các tổ chức cá nhân trong và ngoài nước cho hoạt động đảm bảo TTATGT;</w:t>
      </w:r>
    </w:p>
    <w:p w:rsidR="006451F8" w:rsidRPr="005A16BD" w:rsidRDefault="00586709" w:rsidP="00F7021E">
      <w:pPr>
        <w:spacing w:before="120"/>
        <w:ind w:firstLine="720"/>
        <w:jc w:val="both"/>
        <w:rPr>
          <w:sz w:val="28"/>
        </w:rPr>
      </w:pPr>
      <w:r w:rsidRPr="005A16BD">
        <w:rPr>
          <w:sz w:val="28"/>
        </w:rPr>
        <w:t>3</w:t>
      </w:r>
      <w:r w:rsidR="006451F8" w:rsidRPr="005A16BD">
        <w:rPr>
          <w:sz w:val="28"/>
        </w:rPr>
        <w:t>. Các nguồn thu khác theo quy định của pháp luật</w:t>
      </w:r>
      <w:r w:rsidR="00E62192" w:rsidRPr="005A16BD">
        <w:rPr>
          <w:sz w:val="28"/>
        </w:rPr>
        <w:t>”</w:t>
      </w:r>
      <w:r w:rsidR="006451F8" w:rsidRPr="005A16BD">
        <w:rPr>
          <w:sz w:val="28"/>
        </w:rPr>
        <w:t>.</w:t>
      </w:r>
    </w:p>
    <w:p w:rsidR="00F513B5" w:rsidRPr="005A16BD" w:rsidRDefault="00E62192" w:rsidP="00F7021E">
      <w:pPr>
        <w:spacing w:before="120"/>
        <w:ind w:firstLine="720"/>
        <w:jc w:val="both"/>
        <w:rPr>
          <w:sz w:val="28"/>
        </w:rPr>
      </w:pPr>
      <w:r w:rsidRPr="005A16BD">
        <w:rPr>
          <w:bCs/>
          <w:sz w:val="28"/>
        </w:rPr>
        <w:t xml:space="preserve">3. </w:t>
      </w:r>
      <w:r w:rsidRPr="005A16BD">
        <w:rPr>
          <w:sz w:val="28"/>
        </w:rPr>
        <w:t xml:space="preserve">Bãi bỏ khoản 3, điểm b, điểm e khoản 4 </w:t>
      </w:r>
      <w:r w:rsidR="00D02D5C" w:rsidRPr="005A16BD">
        <w:rPr>
          <w:sz w:val="28"/>
        </w:rPr>
        <w:t>Điều 3; điểm đ khoản 3 Điều 4.</w:t>
      </w:r>
    </w:p>
    <w:p w:rsidR="00793B07" w:rsidRPr="005A16BD" w:rsidRDefault="00E62192" w:rsidP="00F7021E">
      <w:pPr>
        <w:spacing w:before="120"/>
        <w:ind w:firstLine="720"/>
        <w:jc w:val="both"/>
        <w:rPr>
          <w:sz w:val="28"/>
        </w:rPr>
      </w:pPr>
      <w:r w:rsidRPr="005A16BD">
        <w:rPr>
          <w:bCs/>
          <w:sz w:val="28"/>
        </w:rPr>
        <w:t xml:space="preserve">4. </w:t>
      </w:r>
      <w:r w:rsidR="00104D7E" w:rsidRPr="005A16BD">
        <w:rPr>
          <w:sz w:val="28"/>
        </w:rPr>
        <w:t>S</w:t>
      </w:r>
      <w:r w:rsidR="00E03364" w:rsidRPr="005A16BD">
        <w:rPr>
          <w:sz w:val="28"/>
        </w:rPr>
        <w:t xml:space="preserve">ửa đổi điểm a, </w:t>
      </w:r>
      <w:r w:rsidR="00F7021E" w:rsidRPr="005A16BD">
        <w:rPr>
          <w:sz w:val="28"/>
        </w:rPr>
        <w:t>điểm c</w:t>
      </w:r>
      <w:r w:rsidR="00E03364" w:rsidRPr="005A16BD">
        <w:rPr>
          <w:sz w:val="28"/>
        </w:rPr>
        <w:t xml:space="preserve"> và điểm d</w:t>
      </w:r>
      <w:r w:rsidR="00F7021E" w:rsidRPr="005A16BD">
        <w:rPr>
          <w:sz w:val="28"/>
        </w:rPr>
        <w:t xml:space="preserve"> khoản 3 Điều 4 như sau:</w:t>
      </w:r>
    </w:p>
    <w:p w:rsidR="006451F8" w:rsidRPr="005A16BD" w:rsidRDefault="00D02D5C" w:rsidP="00F7021E">
      <w:pPr>
        <w:spacing w:before="120"/>
        <w:ind w:firstLine="720"/>
        <w:jc w:val="both"/>
        <w:rPr>
          <w:bCs/>
          <w:sz w:val="28"/>
        </w:rPr>
      </w:pPr>
      <w:r w:rsidRPr="005A16BD">
        <w:rPr>
          <w:sz w:val="28"/>
        </w:rPr>
        <w:t>“</w:t>
      </w:r>
      <w:r w:rsidR="006451F8" w:rsidRPr="005A16BD">
        <w:rPr>
          <w:sz w:val="28"/>
        </w:rPr>
        <w:t>a) Chi công tác phí, hội nghị, tập huấn triển khai thực hiện nhiệm vụ, công tác bảo đảm TTATGT thực hiện theo quy định tại Thông tư số 40/2017/TT-BTC ngày 28 tháng 4 năm 2017 của Bộ</w:t>
      </w:r>
      <w:r w:rsidRPr="005A16BD">
        <w:rPr>
          <w:sz w:val="28"/>
        </w:rPr>
        <w:t xml:space="preserve"> trưởng</w:t>
      </w:r>
      <w:r w:rsidR="006451F8" w:rsidRPr="005A16BD">
        <w:rPr>
          <w:sz w:val="28"/>
        </w:rPr>
        <w:t xml:space="preserve"> </w:t>
      </w:r>
      <w:r w:rsidRPr="005A16BD">
        <w:rPr>
          <w:sz w:val="28"/>
        </w:rPr>
        <w:t xml:space="preserve">Bộ </w:t>
      </w:r>
      <w:r w:rsidR="006451F8" w:rsidRPr="005A16BD">
        <w:rPr>
          <w:sz w:val="28"/>
        </w:rPr>
        <w:t>Tài chính quy định chế độ công tác phí, chế độ hội nghị</w:t>
      </w:r>
      <w:r w:rsidRPr="005A16BD">
        <w:rPr>
          <w:sz w:val="28"/>
        </w:rPr>
        <w:t xml:space="preserve">; </w:t>
      </w:r>
      <w:r w:rsidRPr="005A16BD">
        <w:rPr>
          <w:sz w:val="28"/>
          <w:szCs w:val="28"/>
        </w:rPr>
        <w:t xml:space="preserve">Thông tư số 12/2025/TT-BTC ngày 19 tháng 3 năm 2025 </w:t>
      </w:r>
      <w:r w:rsidRPr="005A16BD">
        <w:rPr>
          <w:sz w:val="28"/>
        </w:rPr>
        <w:t>của Bộ trưởng Bộ Tài chính</w:t>
      </w:r>
      <w:r w:rsidRPr="005A16BD">
        <w:rPr>
          <w:sz w:val="28"/>
          <w:szCs w:val="28"/>
        </w:rPr>
        <w:t xml:space="preserve"> sửa đổi, bổ sung một số điều của </w:t>
      </w:r>
      <w:r w:rsidRPr="005A16BD">
        <w:rPr>
          <w:sz w:val="28"/>
          <w:szCs w:val="28"/>
          <w:lang w:val="nl-NL"/>
        </w:rPr>
        <w:t xml:space="preserve">Thông tư số </w:t>
      </w:r>
      <w:r w:rsidRPr="005A16BD">
        <w:rPr>
          <w:sz w:val="28"/>
          <w:szCs w:val="28"/>
        </w:rPr>
        <w:t>40/2017/TT-BTC;</w:t>
      </w:r>
    </w:p>
    <w:p w:rsidR="00E03364" w:rsidRPr="005A16BD" w:rsidRDefault="006451F8" w:rsidP="00F7021E">
      <w:pPr>
        <w:spacing w:before="120"/>
        <w:ind w:firstLine="720"/>
        <w:jc w:val="both"/>
        <w:rPr>
          <w:sz w:val="28"/>
          <w:szCs w:val="28"/>
          <w:lang w:val="nl-NL"/>
        </w:rPr>
      </w:pPr>
      <w:r w:rsidRPr="005A16BD">
        <w:rPr>
          <w:sz w:val="28"/>
        </w:rPr>
        <w:lastRenderedPageBreak/>
        <w:t xml:space="preserve">c) Chi khen thưởng theo quy định tại </w:t>
      </w:r>
      <w:r w:rsidR="00D02D5C" w:rsidRPr="005A16BD">
        <w:rPr>
          <w:sz w:val="28"/>
          <w:szCs w:val="28"/>
          <w:lang w:val="nl-NL"/>
        </w:rPr>
        <w:t>Luật Thi đua, khen thưởng</w:t>
      </w:r>
      <w:r w:rsidR="00D02D5C" w:rsidRPr="005A16BD">
        <w:rPr>
          <w:sz w:val="28"/>
        </w:rPr>
        <w:t xml:space="preserve">, </w:t>
      </w:r>
      <w:r w:rsidR="00D02D5C" w:rsidRPr="005A16BD">
        <w:rPr>
          <w:sz w:val="28"/>
          <w:szCs w:val="28"/>
          <w:lang w:val="nl-NL"/>
        </w:rPr>
        <w:t>Nghị định số 98/2023/NĐ-CP ngày 31 tháng 12 năm 2023 của Chính phủ quy định chi tiết thi hành một số điều của Luật Thi đua, khen thưởng</w:t>
      </w:r>
    </w:p>
    <w:p w:rsidR="00E03364" w:rsidRPr="005A16BD" w:rsidRDefault="00E03364" w:rsidP="00F7021E">
      <w:pPr>
        <w:spacing w:before="120"/>
        <w:ind w:firstLine="720"/>
        <w:jc w:val="both"/>
        <w:rPr>
          <w:spacing w:val="-6"/>
          <w:sz w:val="28"/>
          <w:szCs w:val="28"/>
          <w:lang w:val="nl-NL"/>
        </w:rPr>
      </w:pPr>
      <w:r w:rsidRPr="005A16BD">
        <w:rPr>
          <w:spacing w:val="-6"/>
          <w:sz w:val="28"/>
          <w:szCs w:val="28"/>
          <w:lang w:val="nl-NL"/>
        </w:rPr>
        <w:t>d) Chi thăm hỏi, hỗ trợ nạn nhân tai nạn giao thông, gia định nạn nhân bị chết:</w:t>
      </w:r>
    </w:p>
    <w:p w:rsidR="00D02D5C" w:rsidRPr="005A16BD" w:rsidRDefault="00E03364" w:rsidP="00F7021E">
      <w:pPr>
        <w:spacing w:before="120"/>
        <w:ind w:firstLine="720"/>
        <w:jc w:val="both"/>
        <w:rPr>
          <w:sz w:val="28"/>
          <w:szCs w:val="28"/>
          <w:lang w:val="nl-NL"/>
        </w:rPr>
      </w:pPr>
      <w:r w:rsidRPr="005A16BD">
        <w:rPr>
          <w:sz w:val="28"/>
          <w:szCs w:val="28"/>
          <w:lang w:val="nl-NL"/>
        </w:rPr>
        <w:t>Trong các vụ tai nạn giao thông đặc biệt nghiêm trọng: Chi hỗ trợ không quá 10 triệu đồng/người bị tử vong; không quá 05 triệu đồng/ người bị thương nặng</w:t>
      </w:r>
      <w:r w:rsidR="00E57B83" w:rsidRPr="005A16BD">
        <w:rPr>
          <w:sz w:val="28"/>
          <w:szCs w:val="28"/>
          <w:lang w:val="nl-NL"/>
        </w:rPr>
        <w:t>;</w:t>
      </w:r>
    </w:p>
    <w:p w:rsidR="00E57B83" w:rsidRPr="005A16BD" w:rsidRDefault="00E57B83" w:rsidP="00F7021E">
      <w:pPr>
        <w:spacing w:before="120"/>
        <w:ind w:firstLine="720"/>
        <w:jc w:val="both"/>
        <w:rPr>
          <w:sz w:val="28"/>
          <w:szCs w:val="28"/>
          <w:lang w:val="nl-NL"/>
        </w:rPr>
      </w:pPr>
      <w:r w:rsidRPr="005A16BD">
        <w:rPr>
          <w:sz w:val="28"/>
          <w:szCs w:val="28"/>
          <w:lang w:val="nl-NL"/>
        </w:rPr>
        <w:t>Trong dịp Tết Nguyên đán, “Ngày thế giới tưởng niệm các nạn nhân tử vong do tai nạn giao thông”: Chi thăm hỏi không quá 05 triệu đồng/người đối với nạn nhân bị thương nặng, gia đình nạn nhân bị chết do tai nạn giao thông có hoàn cảnh khó khăn.</w:t>
      </w:r>
    </w:p>
    <w:p w:rsidR="00104D7E" w:rsidRPr="005A16BD" w:rsidRDefault="00104D7E" w:rsidP="00F7021E">
      <w:pPr>
        <w:spacing w:before="120"/>
        <w:ind w:firstLine="720"/>
        <w:jc w:val="both"/>
        <w:rPr>
          <w:bCs/>
          <w:sz w:val="28"/>
        </w:rPr>
      </w:pPr>
      <w:r w:rsidRPr="005A16BD">
        <w:rPr>
          <w:sz w:val="28"/>
        </w:rPr>
        <w:t xml:space="preserve">5. </w:t>
      </w:r>
      <w:r w:rsidRPr="005A16BD">
        <w:rPr>
          <w:bCs/>
          <w:sz w:val="28"/>
        </w:rPr>
        <w:t>Điều 5 được sửa đổi, bổ sung như sau:</w:t>
      </w:r>
    </w:p>
    <w:p w:rsidR="006451F8" w:rsidRPr="005A16BD" w:rsidRDefault="00104D7E" w:rsidP="00F7021E">
      <w:pPr>
        <w:spacing w:before="120"/>
        <w:ind w:firstLine="720"/>
        <w:jc w:val="both"/>
        <w:rPr>
          <w:spacing w:val="-6"/>
          <w:sz w:val="28"/>
        </w:rPr>
      </w:pPr>
      <w:r w:rsidRPr="005A16BD">
        <w:rPr>
          <w:spacing w:val="-6"/>
          <w:sz w:val="28"/>
        </w:rPr>
        <w:t>“</w:t>
      </w:r>
      <w:r w:rsidR="006451F8" w:rsidRPr="005A16BD">
        <w:rPr>
          <w:bCs/>
          <w:spacing w:val="-6"/>
          <w:sz w:val="28"/>
        </w:rPr>
        <w:t>Điều 5. Lập, phân bổ, chấp hành và quyết toán kinh phí bảo đảm TTATGT</w:t>
      </w:r>
    </w:p>
    <w:p w:rsidR="006451F8" w:rsidRPr="005A16BD" w:rsidRDefault="006451F8" w:rsidP="00F7021E">
      <w:pPr>
        <w:spacing w:before="120"/>
        <w:ind w:firstLine="720"/>
        <w:jc w:val="both"/>
        <w:rPr>
          <w:spacing w:val="-8"/>
          <w:sz w:val="28"/>
        </w:rPr>
      </w:pPr>
      <w:r w:rsidRPr="005A16BD">
        <w:rPr>
          <w:spacing w:val="-8"/>
          <w:sz w:val="28"/>
        </w:rPr>
        <w:t xml:space="preserve">1. Việc lập, phân bổ, chấp hành và quyết toán kinh phí bảo đảm TTATGT thực hiện theo quy định của Luật Ngân sách nhà nước và các văn bản hướng dẫn Luật. </w:t>
      </w:r>
    </w:p>
    <w:p w:rsidR="006451F8" w:rsidRPr="005A16BD" w:rsidRDefault="006451F8" w:rsidP="00F7021E">
      <w:pPr>
        <w:spacing w:before="120"/>
        <w:ind w:firstLine="720"/>
        <w:jc w:val="both"/>
        <w:rPr>
          <w:spacing w:val="-6"/>
          <w:sz w:val="28"/>
          <w:szCs w:val="28"/>
        </w:rPr>
      </w:pPr>
      <w:r w:rsidRPr="005A16BD">
        <w:rPr>
          <w:spacing w:val="-6"/>
          <w:sz w:val="28"/>
          <w:szCs w:val="28"/>
        </w:rPr>
        <w:t>2. Thông tư này hướng dẫn thêm một số nội dung về lập và phân bổ dự toán:</w:t>
      </w:r>
    </w:p>
    <w:p w:rsidR="006451F8" w:rsidRPr="005A16BD" w:rsidRDefault="006451F8" w:rsidP="00F7021E">
      <w:pPr>
        <w:spacing w:before="120"/>
        <w:ind w:firstLine="720"/>
        <w:jc w:val="both"/>
        <w:rPr>
          <w:rStyle w:val="bumpedfont15"/>
          <w:sz w:val="28"/>
          <w:szCs w:val="28"/>
        </w:rPr>
      </w:pPr>
      <w:r w:rsidRPr="005A16BD">
        <w:rPr>
          <w:sz w:val="28"/>
          <w:szCs w:val="28"/>
        </w:rPr>
        <w:t>Hàng năm, cùng với</w:t>
      </w:r>
      <w:r w:rsidR="00104D7E" w:rsidRPr="005A16BD">
        <w:rPr>
          <w:sz w:val="28"/>
          <w:szCs w:val="28"/>
        </w:rPr>
        <w:t xml:space="preserve"> thời gian lập dự toán thu, </w:t>
      </w:r>
      <w:r w:rsidRPr="005A16BD">
        <w:rPr>
          <w:sz w:val="28"/>
          <w:szCs w:val="28"/>
        </w:rPr>
        <w:t xml:space="preserve">chi ngân sách nhà nước năm; các cơ quan, đơn vị được giao nhiệm vụ bảo đảm TTATGT lập dự toán kinh phí bảo đảm TTATGT và </w:t>
      </w:r>
      <w:r w:rsidRPr="005A16BD">
        <w:rPr>
          <w:rStyle w:val="bumpedfont15"/>
          <w:sz w:val="28"/>
          <w:szCs w:val="28"/>
        </w:rPr>
        <w:t>tổng hợp chung vào dự toán thu, chi ngân sách nhà nước hàng năm của Bộ, cơ quan, đơn vị gửi cơ quan tài chính cùng cấp để tổng hợp báo cáo cấp có thẩm quyền phê duyệt theo quy định; trong đó:</w:t>
      </w:r>
    </w:p>
    <w:p w:rsidR="00D80CA4" w:rsidRPr="005A16BD" w:rsidRDefault="006451F8" w:rsidP="00F7021E">
      <w:pPr>
        <w:spacing w:before="120"/>
        <w:ind w:firstLine="720"/>
        <w:jc w:val="both"/>
        <w:rPr>
          <w:sz w:val="28"/>
          <w:szCs w:val="28"/>
        </w:rPr>
      </w:pPr>
      <w:r w:rsidRPr="005A16BD">
        <w:rPr>
          <w:sz w:val="28"/>
          <w:szCs w:val="28"/>
        </w:rPr>
        <w:t>a)</w:t>
      </w:r>
      <w:r w:rsidR="006C6806" w:rsidRPr="005A16BD">
        <w:rPr>
          <w:sz w:val="28"/>
          <w:szCs w:val="28"/>
        </w:rPr>
        <w:t xml:space="preserve"> </w:t>
      </w:r>
      <w:r w:rsidRPr="005A16BD">
        <w:rPr>
          <w:sz w:val="28"/>
          <w:szCs w:val="28"/>
        </w:rPr>
        <w:t>Đối với Ủy ban An toàn giao thông</w:t>
      </w:r>
      <w:r w:rsidR="00104D7E" w:rsidRPr="005A16BD">
        <w:rPr>
          <w:sz w:val="28"/>
          <w:szCs w:val="28"/>
        </w:rPr>
        <w:t xml:space="preserve"> Quốc gia, Bộ Xây dựng</w:t>
      </w:r>
    </w:p>
    <w:p w:rsidR="00D80CA4" w:rsidRPr="005A16BD" w:rsidRDefault="00104D7E" w:rsidP="00F7021E">
      <w:pPr>
        <w:spacing w:before="120"/>
        <w:ind w:firstLine="720"/>
        <w:jc w:val="both"/>
        <w:rPr>
          <w:rStyle w:val="bumpedfont15"/>
          <w:sz w:val="28"/>
          <w:szCs w:val="28"/>
        </w:rPr>
      </w:pPr>
      <w:r w:rsidRPr="005A16BD">
        <w:rPr>
          <w:sz w:val="28"/>
          <w:szCs w:val="28"/>
        </w:rPr>
        <w:t>Bộ Xây dựng</w:t>
      </w:r>
      <w:r w:rsidRPr="005A16BD">
        <w:rPr>
          <w:rStyle w:val="bumpedfont15"/>
          <w:sz w:val="28"/>
          <w:szCs w:val="28"/>
        </w:rPr>
        <w:t xml:space="preserve"> </w:t>
      </w:r>
      <w:r w:rsidR="006451F8" w:rsidRPr="005A16BD">
        <w:rPr>
          <w:rStyle w:val="bumpedfont15"/>
          <w:sz w:val="28"/>
          <w:szCs w:val="28"/>
        </w:rPr>
        <w:t>lập dự toán kinh phí đảm bảo TTATGT, tổng hợp kinh phí thực hiện nhiệm vụ đảm bảo TTATGT của Ủy ban </w:t>
      </w:r>
      <w:r w:rsidR="006451F8" w:rsidRPr="005A16BD">
        <w:rPr>
          <w:sz w:val="28"/>
          <w:szCs w:val="28"/>
        </w:rPr>
        <w:t>An toàn giao thông Quố</w:t>
      </w:r>
      <w:r w:rsidR="006451F8" w:rsidRPr="005A16BD">
        <w:rPr>
          <w:rStyle w:val="bumpedfont15"/>
          <w:sz w:val="28"/>
          <w:szCs w:val="28"/>
        </w:rPr>
        <w:t>c gia do Văn phòng Ủy ban lập.</w:t>
      </w:r>
    </w:p>
    <w:p w:rsidR="00D80CA4" w:rsidRPr="005A16BD" w:rsidRDefault="00104D7E" w:rsidP="00F7021E">
      <w:pPr>
        <w:spacing w:before="120"/>
        <w:ind w:firstLine="720"/>
        <w:jc w:val="both"/>
        <w:rPr>
          <w:rStyle w:val="bumpedfont15"/>
          <w:sz w:val="28"/>
          <w:szCs w:val="28"/>
          <w:lang w:val="sv-SE"/>
        </w:rPr>
      </w:pPr>
      <w:r w:rsidRPr="005A16BD">
        <w:rPr>
          <w:rStyle w:val="bumpedfont15"/>
          <w:sz w:val="28"/>
          <w:szCs w:val="28"/>
          <w:lang w:val="sv-SE"/>
        </w:rPr>
        <w:t>b</w:t>
      </w:r>
      <w:r w:rsidR="006451F8" w:rsidRPr="005A16BD">
        <w:rPr>
          <w:rStyle w:val="bumpedfont15"/>
          <w:sz w:val="28"/>
          <w:szCs w:val="28"/>
          <w:lang w:val="sv-SE"/>
        </w:rPr>
        <w:t>) Đối với địa phương:</w:t>
      </w:r>
    </w:p>
    <w:p w:rsidR="00D80CA4" w:rsidRPr="005A16BD" w:rsidRDefault="006451F8" w:rsidP="00F7021E">
      <w:pPr>
        <w:spacing w:before="120"/>
        <w:ind w:firstLine="720"/>
        <w:jc w:val="both"/>
        <w:rPr>
          <w:rStyle w:val="bumpedfont15"/>
          <w:sz w:val="28"/>
          <w:szCs w:val="28"/>
          <w:lang w:val="sv-SE"/>
        </w:rPr>
      </w:pPr>
      <w:r w:rsidRPr="005A16BD">
        <w:rPr>
          <w:rStyle w:val="bumpedfont15"/>
          <w:sz w:val="28"/>
          <w:szCs w:val="28"/>
        </w:rPr>
        <w:t>Sở</w:t>
      </w:r>
      <w:r w:rsidR="00104D7E" w:rsidRPr="005A16BD">
        <w:rPr>
          <w:rStyle w:val="bumpedfont15"/>
          <w:sz w:val="28"/>
          <w:szCs w:val="28"/>
        </w:rPr>
        <w:t xml:space="preserve"> Xây dựng, Ban An toàn giao thông các tỉnh, thành phố trực thuộc trung ương</w:t>
      </w:r>
      <w:r w:rsidRPr="005A16BD">
        <w:rPr>
          <w:rStyle w:val="bumpedfont15"/>
          <w:sz w:val="28"/>
          <w:szCs w:val="28"/>
        </w:rPr>
        <w:t xml:space="preserve"> lập dự toán kinh phí đảm bảo TTATGT theo nhiệm vụ được giao gửi cơ quan tài chính cùng cấp xem xét, tổng hợp chung vào dự toán chi ngân sách hàng năm báo cáo Ủy ban nhân dân </w:t>
      </w:r>
      <w:r w:rsidRPr="005A16BD">
        <w:rPr>
          <w:rStyle w:val="bumpedfont15"/>
          <w:sz w:val="28"/>
          <w:szCs w:val="28"/>
          <w:lang w:val="sv-SE"/>
        </w:rPr>
        <w:t xml:space="preserve">cấp </w:t>
      </w:r>
      <w:r w:rsidRPr="005A16BD">
        <w:rPr>
          <w:rStyle w:val="bumpedfont15"/>
          <w:sz w:val="28"/>
          <w:szCs w:val="28"/>
        </w:rPr>
        <w:t>tỉnh, để trình Hội đồng nhân dân tỉnh theo quy định</w:t>
      </w:r>
      <w:r w:rsidRPr="005A16BD">
        <w:rPr>
          <w:rStyle w:val="bumpedfont15"/>
          <w:sz w:val="28"/>
          <w:szCs w:val="28"/>
          <w:lang w:val="sv-SE"/>
        </w:rPr>
        <w:t>.</w:t>
      </w:r>
    </w:p>
    <w:p w:rsidR="00D80CA4" w:rsidRPr="005A16BD" w:rsidRDefault="006451F8" w:rsidP="00F7021E">
      <w:pPr>
        <w:spacing w:before="120"/>
        <w:ind w:firstLine="720"/>
        <w:jc w:val="both"/>
        <w:rPr>
          <w:sz w:val="28"/>
          <w:lang w:val="sv-SE"/>
        </w:rPr>
      </w:pPr>
      <w:r w:rsidRPr="005A16BD">
        <w:rPr>
          <w:sz w:val="28"/>
          <w:lang w:val="sv-SE"/>
        </w:rPr>
        <w:t>3. Các tổ chức, cá nhân sử dụng kinh phí bảo đảm TTATGT phải chi theo nội dung được cấp có thẩm quyền phê duyệt và trong dự toán chi ngân sách nhà nước đã được giao, đảm bảo đúng chế độ chi hiện hành của nhà nước; chịu sự kiểm tra, kiểm soát của cơ quan chức năng có thẩm quyền; thực hiện thanh toán, quyết toán kinh phí hàng năm th</w:t>
      </w:r>
      <w:r w:rsidR="00F7021E" w:rsidRPr="005A16BD">
        <w:rPr>
          <w:sz w:val="28"/>
          <w:lang w:val="sv-SE"/>
        </w:rPr>
        <w:t>eo quy định pháp luật hiện hành”.</w:t>
      </w:r>
      <w:r w:rsidR="00D0487D" w:rsidRPr="005A16BD">
        <w:rPr>
          <w:sz w:val="28"/>
          <w:lang w:val="sv-SE"/>
        </w:rPr>
        <w:t xml:space="preserve"> Không </w:t>
      </w:r>
      <w:r w:rsidR="00144209" w:rsidRPr="005A16BD">
        <w:rPr>
          <w:sz w:val="28"/>
          <w:lang w:val="sv-SE"/>
        </w:rPr>
        <w:t>bố trí kinh phí thực hiện</w:t>
      </w:r>
      <w:r w:rsidR="00D0487D" w:rsidRPr="005A16BD">
        <w:rPr>
          <w:sz w:val="28"/>
          <w:lang w:val="sv-SE"/>
        </w:rPr>
        <w:t xml:space="preserve"> các nội dung chi theo các quy định khác</w:t>
      </w:r>
      <w:r w:rsidR="00144209" w:rsidRPr="005A16BD">
        <w:rPr>
          <w:sz w:val="28"/>
          <w:lang w:val="sv-SE"/>
        </w:rPr>
        <w:t xml:space="preserve"> có</w:t>
      </w:r>
      <w:r w:rsidR="00D0487D" w:rsidRPr="005A16BD">
        <w:rPr>
          <w:sz w:val="28"/>
          <w:lang w:val="sv-SE"/>
        </w:rPr>
        <w:t xml:space="preserve"> trùng lắp với nội dung và phạm vi điều chỉnh của Thông tư này.</w:t>
      </w:r>
    </w:p>
    <w:p w:rsidR="00AE3D92" w:rsidRPr="005A16BD" w:rsidRDefault="00AE3D92" w:rsidP="00F7021E">
      <w:pPr>
        <w:spacing w:before="120"/>
        <w:ind w:firstLine="720"/>
        <w:jc w:val="both"/>
        <w:rPr>
          <w:sz w:val="28"/>
          <w:szCs w:val="28"/>
        </w:rPr>
      </w:pPr>
      <w:r w:rsidRPr="005A16BD">
        <w:rPr>
          <w:sz w:val="28"/>
          <w:lang w:val="sv-SE"/>
        </w:rPr>
        <w:t>6. Thay cụm từ</w:t>
      </w:r>
      <w:r w:rsidR="0095064D" w:rsidRPr="005A16BD">
        <w:rPr>
          <w:sz w:val="28"/>
          <w:lang w:val="sv-SE"/>
        </w:rPr>
        <w:t xml:space="preserve"> </w:t>
      </w:r>
      <w:r w:rsidR="00A34682" w:rsidRPr="005A16BD">
        <w:rPr>
          <w:sz w:val="28"/>
          <w:szCs w:val="28"/>
          <w:lang w:val="it-IT"/>
        </w:rPr>
        <w:t>“</w:t>
      </w:r>
      <w:r w:rsidRPr="005A16BD">
        <w:rPr>
          <w:sz w:val="28"/>
          <w:lang w:val="sv-SE"/>
        </w:rPr>
        <w:t>Bộ Giao thông vận tả</w:t>
      </w:r>
      <w:r w:rsidR="0095064D" w:rsidRPr="005A16BD">
        <w:rPr>
          <w:sz w:val="28"/>
          <w:lang w:val="sv-SE"/>
        </w:rPr>
        <w:t xml:space="preserve">i” thành </w:t>
      </w:r>
      <w:r w:rsidR="0095064D" w:rsidRPr="005A16BD">
        <w:rPr>
          <w:sz w:val="28"/>
        </w:rPr>
        <w:t>“</w:t>
      </w:r>
      <w:r w:rsidRPr="005A16BD">
        <w:rPr>
          <w:sz w:val="28"/>
          <w:lang w:val="sv-SE"/>
        </w:rPr>
        <w:t>Bộ Xây dựng” tại</w:t>
      </w:r>
      <w:r w:rsidR="006C6806" w:rsidRPr="005A16BD">
        <w:rPr>
          <w:sz w:val="28"/>
          <w:lang w:val="sv-SE"/>
        </w:rPr>
        <w:t xml:space="preserve"> </w:t>
      </w:r>
      <w:r w:rsidRPr="005A16BD">
        <w:rPr>
          <w:sz w:val="28"/>
        </w:rPr>
        <w:t xml:space="preserve">điểm i khoản 4 </w:t>
      </w:r>
      <w:r w:rsidR="0095064D" w:rsidRPr="005A16BD">
        <w:rPr>
          <w:sz w:val="28"/>
          <w:szCs w:val="28"/>
          <w:lang w:val="nl-NL"/>
        </w:rPr>
        <w:t xml:space="preserve">Thông tư số 01/2018/TT-BTC </w:t>
      </w:r>
      <w:r w:rsidRPr="005A16BD">
        <w:rPr>
          <w:sz w:val="28"/>
        </w:rPr>
        <w:t>được sửa đổi, bổ sung tại khoản 4 Điều 1 Thông tư số 28/2019/TT-BTC, tiêu đề khoản 2 Điều 3, khoản 2 Điề</w:t>
      </w:r>
      <w:r w:rsidR="0095064D" w:rsidRPr="005A16BD">
        <w:rPr>
          <w:sz w:val="28"/>
        </w:rPr>
        <w:t xml:space="preserve">u 4, Điều 6 </w:t>
      </w:r>
      <w:r w:rsidR="0095064D" w:rsidRPr="005A16BD">
        <w:rPr>
          <w:sz w:val="28"/>
          <w:szCs w:val="28"/>
          <w:lang w:val="nl-NL"/>
        </w:rPr>
        <w:t xml:space="preserve">Thông tư số 01/2018/TT-BTC; cụm từ “Sở </w:t>
      </w:r>
      <w:r w:rsidR="0095064D" w:rsidRPr="005A16BD">
        <w:rPr>
          <w:sz w:val="28"/>
          <w:lang w:val="sv-SE"/>
        </w:rPr>
        <w:t xml:space="preserve">Giao thông vận tải” thành </w:t>
      </w:r>
      <w:r w:rsidR="0095064D" w:rsidRPr="005A16BD">
        <w:rPr>
          <w:sz w:val="28"/>
        </w:rPr>
        <w:t>“</w:t>
      </w:r>
      <w:r w:rsidR="0095064D" w:rsidRPr="005A16BD">
        <w:rPr>
          <w:sz w:val="28"/>
          <w:szCs w:val="28"/>
          <w:lang w:val="nl-NL"/>
        </w:rPr>
        <w:t xml:space="preserve">Sở </w:t>
      </w:r>
      <w:r w:rsidR="0095064D" w:rsidRPr="005A16BD">
        <w:rPr>
          <w:sz w:val="28"/>
          <w:lang w:val="sv-SE"/>
        </w:rPr>
        <w:t xml:space="preserve">Xây dựng” tại Điều 6 </w:t>
      </w:r>
      <w:r w:rsidR="0095064D" w:rsidRPr="005A16BD">
        <w:rPr>
          <w:sz w:val="28"/>
          <w:szCs w:val="28"/>
          <w:lang w:val="nl-NL"/>
        </w:rPr>
        <w:t>Thông tư số 01/2018/TT-BTC.</w:t>
      </w:r>
    </w:p>
    <w:p w:rsidR="0095064D" w:rsidRPr="005A16BD" w:rsidRDefault="00104D7E" w:rsidP="00F7021E">
      <w:pPr>
        <w:spacing w:before="120"/>
        <w:ind w:firstLine="720"/>
        <w:jc w:val="both"/>
        <w:rPr>
          <w:b/>
          <w:sz w:val="28"/>
          <w:szCs w:val="28"/>
          <w:shd w:val="clear" w:color="auto" w:fill="FFFFFF"/>
        </w:rPr>
      </w:pPr>
      <w:r w:rsidRPr="005A16BD">
        <w:rPr>
          <w:b/>
          <w:bCs/>
          <w:sz w:val="28"/>
          <w:szCs w:val="28"/>
        </w:rPr>
        <w:t>Điều 2</w:t>
      </w:r>
      <w:r w:rsidR="006451F8" w:rsidRPr="005A16BD">
        <w:rPr>
          <w:b/>
          <w:bCs/>
          <w:sz w:val="28"/>
          <w:szCs w:val="28"/>
        </w:rPr>
        <w:t xml:space="preserve">. </w:t>
      </w:r>
      <w:r w:rsidR="0095064D" w:rsidRPr="005A16BD">
        <w:rPr>
          <w:b/>
          <w:sz w:val="28"/>
          <w:szCs w:val="28"/>
          <w:shd w:val="clear" w:color="auto" w:fill="FFFFFF"/>
        </w:rPr>
        <w:t>Hiệu lực thi hành</w:t>
      </w:r>
    </w:p>
    <w:p w:rsidR="0095064D" w:rsidRPr="005A16BD" w:rsidRDefault="0095064D" w:rsidP="00F7021E">
      <w:pPr>
        <w:spacing w:before="120"/>
        <w:ind w:firstLine="720"/>
        <w:jc w:val="both"/>
        <w:rPr>
          <w:sz w:val="28"/>
          <w:szCs w:val="28"/>
          <w:lang w:val="nl-NL"/>
        </w:rPr>
      </w:pPr>
      <w:r w:rsidRPr="005A16BD">
        <w:rPr>
          <w:sz w:val="28"/>
          <w:szCs w:val="28"/>
          <w:lang w:val="nl-NL"/>
        </w:rPr>
        <w:t>1. Thông tư này có hiệu lực thi hành kể từ ngày</w:t>
      </w:r>
      <w:r w:rsidR="006C6806" w:rsidRPr="005A16BD">
        <w:rPr>
          <w:sz w:val="28"/>
          <w:szCs w:val="28"/>
          <w:lang w:val="nl-NL"/>
        </w:rPr>
        <w:t xml:space="preserve">  </w:t>
      </w:r>
      <w:r w:rsidRPr="005A16BD">
        <w:rPr>
          <w:sz w:val="28"/>
          <w:szCs w:val="28"/>
          <w:lang w:val="nl-NL"/>
        </w:rPr>
        <w:t xml:space="preserve"> tháng</w:t>
      </w:r>
      <w:r w:rsidR="006C6806" w:rsidRPr="005A16BD">
        <w:rPr>
          <w:sz w:val="28"/>
          <w:szCs w:val="28"/>
          <w:lang w:val="nl-NL"/>
        </w:rPr>
        <w:t xml:space="preserve">   </w:t>
      </w:r>
      <w:r w:rsidRPr="005A16BD">
        <w:rPr>
          <w:sz w:val="28"/>
          <w:szCs w:val="28"/>
          <w:lang w:val="nl-NL"/>
        </w:rPr>
        <w:t>năm 2025.</w:t>
      </w:r>
    </w:p>
    <w:p w:rsidR="0095064D" w:rsidRPr="005A16BD" w:rsidRDefault="0095064D" w:rsidP="00F7021E">
      <w:pPr>
        <w:spacing w:before="120"/>
        <w:ind w:firstLine="720"/>
        <w:jc w:val="both"/>
        <w:rPr>
          <w:sz w:val="28"/>
          <w:szCs w:val="28"/>
          <w:lang w:val="nl-NL"/>
        </w:rPr>
      </w:pPr>
      <w:r w:rsidRPr="005A16BD">
        <w:rPr>
          <w:sz w:val="28"/>
          <w:szCs w:val="28"/>
          <w:lang w:val="nl-NL"/>
        </w:rPr>
        <w:t>2. Khi các văn bản dẫn chiếu để áp dụng tại Thông tư này được sửa đổi, bổ sung hoặc thay thế bằng văn bản mới thì áp dụng theo các văn bản sửa đổi, bổ sung hoặc thay thế.</w:t>
      </w:r>
    </w:p>
    <w:p w:rsidR="0095064D" w:rsidRPr="005A16BD" w:rsidRDefault="0095064D" w:rsidP="00F7021E">
      <w:pPr>
        <w:spacing w:before="120"/>
        <w:ind w:firstLine="720"/>
        <w:jc w:val="both"/>
        <w:rPr>
          <w:sz w:val="28"/>
          <w:szCs w:val="28"/>
          <w:lang w:val="nl-NL"/>
        </w:rPr>
      </w:pPr>
      <w:r w:rsidRPr="005A16BD">
        <w:rPr>
          <w:sz w:val="28"/>
          <w:szCs w:val="28"/>
          <w:lang w:val="nl-NL"/>
        </w:rPr>
        <w:t>3. Trong quá trình thực hiện nếu có khó khăn vướng mắc, đề nghị các cơ quan, đơn vị phản ánh về Bộ Tài chính để nghiên cứu giải quyết./.</w:t>
      </w:r>
    </w:p>
    <w:tbl>
      <w:tblPr>
        <w:tblW w:w="9073" w:type="dxa"/>
        <w:tblInd w:w="108" w:type="dxa"/>
        <w:tblLook w:val="01E0"/>
      </w:tblPr>
      <w:tblGrid>
        <w:gridCol w:w="5812"/>
        <w:gridCol w:w="128"/>
        <w:gridCol w:w="3120"/>
        <w:gridCol w:w="13"/>
      </w:tblGrid>
      <w:tr w:rsidR="009C0492" w:rsidRPr="005A16BD" w:rsidTr="009C0492">
        <w:tc>
          <w:tcPr>
            <w:tcW w:w="5812" w:type="dxa"/>
          </w:tcPr>
          <w:p w:rsidR="00814D27" w:rsidRPr="005A16BD" w:rsidRDefault="00814D27" w:rsidP="008A2665">
            <w:pPr>
              <w:spacing w:line="264" w:lineRule="auto"/>
              <w:rPr>
                <w:b/>
                <w:i/>
                <w:szCs w:val="26"/>
                <w:lang w:val="nl-NL"/>
              </w:rPr>
            </w:pPr>
          </w:p>
          <w:p w:rsidR="009C0492" w:rsidRPr="005A16BD" w:rsidRDefault="009C0492" w:rsidP="008A2665">
            <w:pPr>
              <w:spacing w:line="264" w:lineRule="auto"/>
              <w:rPr>
                <w:b/>
                <w:i/>
                <w:sz w:val="26"/>
                <w:szCs w:val="26"/>
                <w:lang w:val="nl-NL"/>
              </w:rPr>
            </w:pPr>
            <w:r w:rsidRPr="005A16BD">
              <w:rPr>
                <w:b/>
                <w:i/>
                <w:szCs w:val="26"/>
                <w:lang w:val="nl-NL"/>
              </w:rPr>
              <w:t>Nơi nhận:</w:t>
            </w:r>
          </w:p>
          <w:p w:rsidR="00410EFA" w:rsidRPr="005A16BD" w:rsidRDefault="009C0492"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lang w:val="nl-NL"/>
              </w:rPr>
              <w:t xml:space="preserve">- </w:t>
            </w:r>
            <w:r w:rsidR="00410EFA" w:rsidRPr="005A16BD">
              <w:rPr>
                <w:sz w:val="22"/>
                <w:szCs w:val="22"/>
                <w:shd w:val="clear" w:color="auto" w:fill="FFFFFF"/>
              </w:rPr>
              <w:t>Ban Bí thư Trung ương Đảng;</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Thủ tướng, các Phó Thủ tướng Chính phủ;</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Văn phòng Trung ương và các Ban của Đảng;</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Văn phòng Tổng Bí thư;</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Văn phòng Quốc hội;</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Văn phòng Chủ tịch nước;</w:t>
            </w:r>
          </w:p>
          <w:p w:rsidR="007D67A8" w:rsidRPr="005A16BD" w:rsidRDefault="007D67A8" w:rsidP="007D67A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Văn phòng Chính phủ;</w:t>
            </w:r>
          </w:p>
          <w:p w:rsidR="00410EFA" w:rsidRPr="005A16BD" w:rsidRDefault="00C64325"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Viện K</w:t>
            </w:r>
            <w:r w:rsidR="00410EFA" w:rsidRPr="005A16BD">
              <w:rPr>
                <w:sz w:val="22"/>
                <w:szCs w:val="22"/>
                <w:shd w:val="clear" w:color="auto" w:fill="FFFFFF"/>
              </w:rPr>
              <w:t>iểm sát nhân dân tối cao;</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Tòa án nhân dân tối cao;</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Kiểm toán nhà nước;</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Các Bộ, cơ quan ngang Bộ, cơ quan thuộc Chính phủ;</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Cơ quan Trung ương của các Đoàn thể;</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HĐND, UBND các tỉnh, TP trực thuộc Trung ương;</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S</w:t>
            </w:r>
            <w:r w:rsidR="006451F8" w:rsidRPr="005A16BD">
              <w:rPr>
                <w:sz w:val="22"/>
                <w:szCs w:val="22"/>
                <w:shd w:val="clear" w:color="auto" w:fill="FFFFFF"/>
              </w:rPr>
              <w:t xml:space="preserve">ở Tài chính </w:t>
            </w:r>
            <w:r w:rsidRPr="005A16BD">
              <w:rPr>
                <w:sz w:val="22"/>
                <w:szCs w:val="22"/>
                <w:shd w:val="clear" w:color="auto" w:fill="FFFFFF"/>
              </w:rPr>
              <w:t>các tỉnh, TP trực thuộc Trung ương;</w:t>
            </w:r>
          </w:p>
          <w:p w:rsidR="006451F8" w:rsidRPr="005A16BD" w:rsidRDefault="006451F8"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KBNN các khu vực;</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Cục Kiểm tra văn bản</w:t>
            </w:r>
            <w:r w:rsidR="003E4DF4" w:rsidRPr="005A16BD">
              <w:rPr>
                <w:sz w:val="22"/>
                <w:szCs w:val="22"/>
                <w:shd w:val="clear" w:color="auto" w:fill="FFFFFF"/>
              </w:rPr>
              <w:t xml:space="preserve"> </w:t>
            </w:r>
            <w:r w:rsidRPr="005A16BD">
              <w:rPr>
                <w:sz w:val="22"/>
                <w:szCs w:val="22"/>
                <w:shd w:val="clear" w:color="auto" w:fill="FFFFFF"/>
              </w:rPr>
              <w:t>- Bộ Tư pháp;</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Công báo</w:t>
            </w:r>
            <w:r w:rsidR="006451F8" w:rsidRPr="005A16BD">
              <w:rPr>
                <w:sz w:val="22"/>
                <w:szCs w:val="22"/>
                <w:shd w:val="clear" w:color="auto" w:fill="FFFFFF"/>
              </w:rPr>
              <w:t>, c</w:t>
            </w:r>
            <w:r w:rsidRPr="005A16BD">
              <w:rPr>
                <w:sz w:val="22"/>
                <w:szCs w:val="22"/>
                <w:shd w:val="clear" w:color="auto" w:fill="FFFFFF"/>
              </w:rPr>
              <w:t xml:space="preserve">ổng </w:t>
            </w:r>
            <w:r w:rsidR="00942F35" w:rsidRPr="005A16BD">
              <w:rPr>
                <w:sz w:val="22"/>
                <w:szCs w:val="22"/>
                <w:shd w:val="clear" w:color="auto" w:fill="FFFFFF"/>
              </w:rPr>
              <w:t xml:space="preserve">thông tin điện tử Chính phủ; </w:t>
            </w:r>
          </w:p>
          <w:p w:rsidR="00942F35" w:rsidRPr="005A16BD" w:rsidRDefault="00942F35"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shd w:val="clear" w:color="auto" w:fill="FFFFFF"/>
              </w:rPr>
            </w:pPr>
            <w:r w:rsidRPr="005A16BD">
              <w:rPr>
                <w:sz w:val="22"/>
                <w:szCs w:val="22"/>
                <w:shd w:val="clear" w:color="auto" w:fill="FFFFFF"/>
              </w:rPr>
              <w:t>- Cổng thông tin điện tử Bộ Tài chính;</w:t>
            </w:r>
          </w:p>
          <w:p w:rsidR="00410EFA" w:rsidRPr="005A16BD" w:rsidRDefault="00410EFA" w:rsidP="008A266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57"/>
              <w:jc w:val="both"/>
              <w:rPr>
                <w:sz w:val="22"/>
                <w:szCs w:val="22"/>
                <w:lang w:val="nl-NL"/>
              </w:rPr>
            </w:pPr>
            <w:r w:rsidRPr="005A16BD">
              <w:rPr>
                <w:sz w:val="22"/>
                <w:szCs w:val="22"/>
                <w:shd w:val="clear" w:color="auto" w:fill="FFFFFF"/>
              </w:rPr>
              <w:t xml:space="preserve">- Lưu: </w:t>
            </w:r>
            <w:r w:rsidR="00F30BCB" w:rsidRPr="005A16BD">
              <w:rPr>
                <w:sz w:val="22"/>
                <w:szCs w:val="22"/>
                <w:shd w:val="clear" w:color="auto" w:fill="FFFFFF"/>
              </w:rPr>
              <w:t>V</w:t>
            </w:r>
            <w:r w:rsidR="00C64325" w:rsidRPr="005A16BD">
              <w:rPr>
                <w:sz w:val="22"/>
                <w:szCs w:val="22"/>
                <w:shd w:val="clear" w:color="auto" w:fill="FFFFFF"/>
              </w:rPr>
              <w:t>T</w:t>
            </w:r>
            <w:r w:rsidR="00F30BCB" w:rsidRPr="005A16BD">
              <w:rPr>
                <w:sz w:val="22"/>
                <w:szCs w:val="22"/>
                <w:shd w:val="clear" w:color="auto" w:fill="FFFFFF"/>
              </w:rPr>
              <w:t xml:space="preserve">, </w:t>
            </w:r>
            <w:r w:rsidR="009C5E14" w:rsidRPr="005A16BD">
              <w:rPr>
                <w:sz w:val="22"/>
                <w:szCs w:val="22"/>
                <w:shd w:val="clear" w:color="auto" w:fill="FFFFFF"/>
              </w:rPr>
              <w:t>KTN</w:t>
            </w:r>
            <w:r w:rsidRPr="005A16BD">
              <w:rPr>
                <w:sz w:val="22"/>
                <w:szCs w:val="22"/>
                <w:shd w:val="clear" w:color="auto" w:fill="FFFFFF"/>
              </w:rPr>
              <w:t xml:space="preserve"> (</w:t>
            </w:r>
            <w:r w:rsidR="006451F8" w:rsidRPr="005A16BD">
              <w:rPr>
                <w:sz w:val="22"/>
                <w:szCs w:val="22"/>
                <w:shd w:val="clear" w:color="auto" w:fill="FFFFFF"/>
              </w:rPr>
              <w:t xml:space="preserve">200 </w:t>
            </w:r>
            <w:r w:rsidRPr="005A16BD">
              <w:rPr>
                <w:sz w:val="22"/>
                <w:szCs w:val="22"/>
                <w:shd w:val="clear" w:color="auto" w:fill="FFFFFF"/>
              </w:rPr>
              <w:t xml:space="preserve">bản). </w:t>
            </w:r>
          </w:p>
          <w:p w:rsidR="009C0492" w:rsidRPr="005A16BD" w:rsidRDefault="009C0492" w:rsidP="008A2665">
            <w:pPr>
              <w:spacing w:line="264" w:lineRule="auto"/>
              <w:rPr>
                <w:sz w:val="22"/>
                <w:szCs w:val="22"/>
                <w:lang w:val="nl-NL"/>
              </w:rPr>
            </w:pPr>
          </w:p>
        </w:tc>
        <w:tc>
          <w:tcPr>
            <w:tcW w:w="3261" w:type="dxa"/>
            <w:gridSpan w:val="3"/>
          </w:tcPr>
          <w:p w:rsidR="00814D27" w:rsidRPr="005A16BD" w:rsidRDefault="00814D27" w:rsidP="008A2665">
            <w:pPr>
              <w:spacing w:line="264" w:lineRule="auto"/>
              <w:jc w:val="center"/>
              <w:rPr>
                <w:b/>
                <w:bCs/>
                <w:sz w:val="26"/>
                <w:szCs w:val="26"/>
                <w:lang w:val="nl-NL"/>
              </w:rPr>
            </w:pPr>
          </w:p>
          <w:p w:rsidR="009C0492" w:rsidRPr="005A16BD" w:rsidRDefault="009C0492" w:rsidP="008A2665">
            <w:pPr>
              <w:spacing w:line="264" w:lineRule="auto"/>
              <w:jc w:val="center"/>
              <w:rPr>
                <w:b/>
                <w:bCs/>
                <w:sz w:val="26"/>
                <w:szCs w:val="26"/>
                <w:lang w:val="nl-NL"/>
              </w:rPr>
            </w:pPr>
            <w:r w:rsidRPr="005A16BD">
              <w:rPr>
                <w:b/>
                <w:bCs/>
                <w:sz w:val="26"/>
                <w:szCs w:val="26"/>
                <w:lang w:val="nl-NL"/>
              </w:rPr>
              <w:t>KT. BỘ TRƯỞNG</w:t>
            </w:r>
          </w:p>
          <w:p w:rsidR="009C0492" w:rsidRPr="005A16BD" w:rsidRDefault="009C0492" w:rsidP="008A2665">
            <w:pPr>
              <w:spacing w:line="264" w:lineRule="auto"/>
              <w:jc w:val="center"/>
              <w:rPr>
                <w:b/>
                <w:bCs/>
                <w:sz w:val="26"/>
                <w:szCs w:val="26"/>
                <w:lang w:val="nl-NL"/>
              </w:rPr>
            </w:pPr>
            <w:r w:rsidRPr="005A16BD">
              <w:rPr>
                <w:b/>
                <w:bCs/>
                <w:sz w:val="26"/>
                <w:szCs w:val="26"/>
                <w:lang w:val="nl-NL"/>
              </w:rPr>
              <w:t>THỨ TRƯỞNG</w:t>
            </w:r>
          </w:p>
          <w:p w:rsidR="009C0492" w:rsidRPr="005A16BD" w:rsidRDefault="009C0492" w:rsidP="008A2665">
            <w:pPr>
              <w:spacing w:line="264" w:lineRule="auto"/>
              <w:jc w:val="center"/>
              <w:rPr>
                <w:b/>
                <w:bCs/>
                <w:sz w:val="26"/>
                <w:szCs w:val="26"/>
                <w:lang w:val="nl-NL"/>
              </w:rPr>
            </w:pPr>
          </w:p>
          <w:p w:rsidR="009C0492" w:rsidRPr="005A16BD" w:rsidRDefault="009C0492" w:rsidP="008A2665">
            <w:pPr>
              <w:spacing w:line="264" w:lineRule="auto"/>
              <w:jc w:val="center"/>
              <w:rPr>
                <w:b/>
                <w:bCs/>
                <w:sz w:val="26"/>
                <w:szCs w:val="26"/>
                <w:lang w:val="nl-NL"/>
              </w:rPr>
            </w:pPr>
          </w:p>
          <w:p w:rsidR="009C0492" w:rsidRPr="005A16BD" w:rsidRDefault="009C0492" w:rsidP="008A2665">
            <w:pPr>
              <w:spacing w:line="264" w:lineRule="auto"/>
              <w:jc w:val="center"/>
              <w:rPr>
                <w:b/>
                <w:bCs/>
                <w:sz w:val="26"/>
                <w:szCs w:val="26"/>
                <w:lang w:val="nl-NL"/>
              </w:rPr>
            </w:pPr>
          </w:p>
          <w:p w:rsidR="009C0492" w:rsidRPr="005A16BD" w:rsidRDefault="009C0492" w:rsidP="008A2665">
            <w:pPr>
              <w:spacing w:line="264" w:lineRule="auto"/>
              <w:jc w:val="center"/>
              <w:rPr>
                <w:b/>
                <w:bCs/>
                <w:sz w:val="26"/>
                <w:szCs w:val="26"/>
                <w:lang w:val="nl-NL"/>
              </w:rPr>
            </w:pPr>
          </w:p>
          <w:p w:rsidR="009C0492" w:rsidRPr="005A16BD" w:rsidRDefault="009C0492" w:rsidP="006451F8">
            <w:pPr>
              <w:spacing w:line="264" w:lineRule="auto"/>
              <w:rPr>
                <w:b/>
                <w:bCs/>
                <w:sz w:val="26"/>
                <w:szCs w:val="26"/>
                <w:lang w:val="nl-NL"/>
              </w:rPr>
            </w:pPr>
          </w:p>
          <w:p w:rsidR="009C0492" w:rsidRPr="005A16BD" w:rsidRDefault="009C0492" w:rsidP="009C0492">
            <w:pPr>
              <w:spacing w:line="264" w:lineRule="auto"/>
              <w:jc w:val="center"/>
              <w:rPr>
                <w:b/>
                <w:sz w:val="28"/>
                <w:szCs w:val="28"/>
                <w:lang w:val="nl-NL"/>
              </w:rPr>
            </w:pPr>
          </w:p>
        </w:tc>
      </w:tr>
      <w:tr w:rsidR="002F18EB" w:rsidRPr="005A16BD" w:rsidTr="009C0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40"/>
        </w:trPr>
        <w:tc>
          <w:tcPr>
            <w:tcW w:w="5940" w:type="dxa"/>
            <w:gridSpan w:val="2"/>
            <w:tcBorders>
              <w:top w:val="nil"/>
              <w:left w:val="nil"/>
              <w:bottom w:val="nil"/>
              <w:right w:val="nil"/>
            </w:tcBorders>
          </w:tcPr>
          <w:p w:rsidR="002F18EB" w:rsidRPr="005A16BD" w:rsidRDefault="002F18EB" w:rsidP="002F18EB">
            <w:pPr>
              <w:rPr>
                <w:lang w:val="nl-NL"/>
              </w:rPr>
            </w:pPr>
          </w:p>
        </w:tc>
        <w:tc>
          <w:tcPr>
            <w:tcW w:w="3120" w:type="dxa"/>
            <w:tcBorders>
              <w:top w:val="nil"/>
              <w:left w:val="nil"/>
              <w:bottom w:val="nil"/>
              <w:right w:val="nil"/>
            </w:tcBorders>
          </w:tcPr>
          <w:p w:rsidR="002F18EB" w:rsidRPr="005A16BD" w:rsidRDefault="002F18EB" w:rsidP="002F18EB">
            <w:pPr>
              <w:jc w:val="center"/>
              <w:rPr>
                <w:b/>
                <w:lang w:val="nl-NL"/>
              </w:rPr>
            </w:pPr>
          </w:p>
        </w:tc>
      </w:tr>
    </w:tbl>
    <w:p w:rsidR="002F18EB" w:rsidRPr="005A16BD" w:rsidRDefault="002F18EB" w:rsidP="00B34784">
      <w:pPr>
        <w:rPr>
          <w:lang w:val="nl-NL"/>
        </w:rPr>
      </w:pPr>
    </w:p>
    <w:sectPr w:rsidR="002F18EB" w:rsidRPr="005A16BD" w:rsidSect="006C6806">
      <w:headerReference w:type="default" r:id="rId11"/>
      <w:footerReference w:type="even" r:id="rId12"/>
      <w:footerReference w:type="default" r:id="rId13"/>
      <w:pgSz w:w="11907" w:h="16840" w:code="9"/>
      <w:pgMar w:top="1134" w:right="1134" w:bottom="1134" w:left="1701" w:header="51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99C" w:rsidRDefault="0093599C">
      <w:r>
        <w:separator/>
      </w:r>
    </w:p>
  </w:endnote>
  <w:endnote w:type="continuationSeparator" w:id="0">
    <w:p w:rsidR="0093599C" w:rsidRDefault="00935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C" w:rsidRDefault="00843561" w:rsidP="002F18EB">
    <w:pPr>
      <w:pStyle w:val="Footer"/>
      <w:framePr w:wrap="around" w:vAnchor="text" w:hAnchor="margin" w:xAlign="right" w:y="1"/>
      <w:rPr>
        <w:rStyle w:val="PageNumber"/>
      </w:rPr>
    </w:pPr>
    <w:r>
      <w:rPr>
        <w:rStyle w:val="PageNumber"/>
      </w:rPr>
      <w:fldChar w:fldCharType="begin"/>
    </w:r>
    <w:r w:rsidR="0093599C">
      <w:rPr>
        <w:rStyle w:val="PageNumber"/>
      </w:rPr>
      <w:instrText xml:space="preserve">PAGE  </w:instrText>
    </w:r>
    <w:r>
      <w:rPr>
        <w:rStyle w:val="PageNumber"/>
      </w:rPr>
      <w:fldChar w:fldCharType="end"/>
    </w:r>
  </w:p>
  <w:p w:rsidR="0093599C" w:rsidRDefault="0093599C" w:rsidP="002F18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C" w:rsidRDefault="0093599C" w:rsidP="002F18EB">
    <w:pPr>
      <w:pStyle w:val="Footer"/>
      <w:framePr w:wrap="around" w:vAnchor="text" w:hAnchor="margin" w:xAlign="right" w:y="1"/>
      <w:rPr>
        <w:rStyle w:val="PageNumber"/>
      </w:rPr>
    </w:pPr>
  </w:p>
  <w:p w:rsidR="0093599C" w:rsidRDefault="0093599C" w:rsidP="002F18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99C" w:rsidRDefault="0093599C">
      <w:r>
        <w:separator/>
      </w:r>
    </w:p>
  </w:footnote>
  <w:footnote w:type="continuationSeparator" w:id="0">
    <w:p w:rsidR="0093599C" w:rsidRDefault="00935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9C" w:rsidRPr="00DB76AD" w:rsidRDefault="00843561">
    <w:pPr>
      <w:pStyle w:val="Header"/>
      <w:jc w:val="center"/>
    </w:pPr>
    <w:fldSimple w:instr=" PAGE   \* MERGEFORMAT ">
      <w:r w:rsidR="005A16BD">
        <w:rPr>
          <w:noProof/>
        </w:rPr>
        <w:t>2</w:t>
      </w:r>
    </w:fldSimple>
  </w:p>
  <w:p w:rsidR="0093599C" w:rsidRDefault="009359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09BF"/>
    <w:multiLevelType w:val="hybridMultilevel"/>
    <w:tmpl w:val="DDF81034"/>
    <w:lvl w:ilvl="0" w:tplc="AE28CC2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9C5AA0"/>
    <w:multiLevelType w:val="hybridMultilevel"/>
    <w:tmpl w:val="92CC2514"/>
    <w:lvl w:ilvl="0" w:tplc="E2BABE7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5E1E7ED6"/>
    <w:multiLevelType w:val="hybridMultilevel"/>
    <w:tmpl w:val="2D94053C"/>
    <w:lvl w:ilvl="0" w:tplc="887A4CA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C74A11"/>
    <w:multiLevelType w:val="hybridMultilevel"/>
    <w:tmpl w:val="86A611B8"/>
    <w:lvl w:ilvl="0" w:tplc="4622190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stylePaneFormatFilter w:val="3F01"/>
  <w:defaultTabStop w:val="720"/>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2F18EB"/>
    <w:rsid w:val="00000B9E"/>
    <w:rsid w:val="00012699"/>
    <w:rsid w:val="00040B40"/>
    <w:rsid w:val="000413E6"/>
    <w:rsid w:val="00041FB6"/>
    <w:rsid w:val="00042E6C"/>
    <w:rsid w:val="0004324B"/>
    <w:rsid w:val="000542BB"/>
    <w:rsid w:val="000610CA"/>
    <w:rsid w:val="0006797B"/>
    <w:rsid w:val="00074916"/>
    <w:rsid w:val="000841B5"/>
    <w:rsid w:val="00086B2B"/>
    <w:rsid w:val="00087B3B"/>
    <w:rsid w:val="00096F2B"/>
    <w:rsid w:val="00096F7F"/>
    <w:rsid w:val="000A3EEF"/>
    <w:rsid w:val="000A4539"/>
    <w:rsid w:val="000B3A62"/>
    <w:rsid w:val="000C1C5F"/>
    <w:rsid w:val="000D68D0"/>
    <w:rsid w:val="000D7B39"/>
    <w:rsid w:val="000E2A87"/>
    <w:rsid w:val="000E4D6A"/>
    <w:rsid w:val="000E5AF1"/>
    <w:rsid w:val="000E7B99"/>
    <w:rsid w:val="000F6283"/>
    <w:rsid w:val="00104D7E"/>
    <w:rsid w:val="001153AF"/>
    <w:rsid w:val="0013257E"/>
    <w:rsid w:val="00136F9D"/>
    <w:rsid w:val="00143F20"/>
    <w:rsid w:val="00144209"/>
    <w:rsid w:val="00145908"/>
    <w:rsid w:val="00150C7E"/>
    <w:rsid w:val="00151425"/>
    <w:rsid w:val="00152296"/>
    <w:rsid w:val="00153071"/>
    <w:rsid w:val="00154EEE"/>
    <w:rsid w:val="00167206"/>
    <w:rsid w:val="0017671D"/>
    <w:rsid w:val="00177200"/>
    <w:rsid w:val="0018650F"/>
    <w:rsid w:val="00190513"/>
    <w:rsid w:val="001B40A7"/>
    <w:rsid w:val="001B710E"/>
    <w:rsid w:val="001C4CB2"/>
    <w:rsid w:val="001C685E"/>
    <w:rsid w:val="001C6C94"/>
    <w:rsid w:val="001D3038"/>
    <w:rsid w:val="001E2D28"/>
    <w:rsid w:val="001E6AF7"/>
    <w:rsid w:val="001F3D73"/>
    <w:rsid w:val="00213358"/>
    <w:rsid w:val="00215070"/>
    <w:rsid w:val="00220307"/>
    <w:rsid w:val="0024181D"/>
    <w:rsid w:val="00241B6F"/>
    <w:rsid w:val="00261F3C"/>
    <w:rsid w:val="0026462F"/>
    <w:rsid w:val="00264BA0"/>
    <w:rsid w:val="00264D7C"/>
    <w:rsid w:val="00273111"/>
    <w:rsid w:val="00293ABF"/>
    <w:rsid w:val="002975E9"/>
    <w:rsid w:val="002A06F1"/>
    <w:rsid w:val="002A3E5E"/>
    <w:rsid w:val="002A46CE"/>
    <w:rsid w:val="002A6A2A"/>
    <w:rsid w:val="002B44C9"/>
    <w:rsid w:val="002B4947"/>
    <w:rsid w:val="002B5C99"/>
    <w:rsid w:val="002C0604"/>
    <w:rsid w:val="002D13C5"/>
    <w:rsid w:val="002D3410"/>
    <w:rsid w:val="002E4577"/>
    <w:rsid w:val="002E7A06"/>
    <w:rsid w:val="002F0BF6"/>
    <w:rsid w:val="002F18EB"/>
    <w:rsid w:val="0030390C"/>
    <w:rsid w:val="00310E8F"/>
    <w:rsid w:val="00332FF9"/>
    <w:rsid w:val="00335BF2"/>
    <w:rsid w:val="0034446B"/>
    <w:rsid w:val="003543C8"/>
    <w:rsid w:val="00354CA4"/>
    <w:rsid w:val="0035506F"/>
    <w:rsid w:val="003552C3"/>
    <w:rsid w:val="0035644F"/>
    <w:rsid w:val="00366E76"/>
    <w:rsid w:val="00374DC8"/>
    <w:rsid w:val="003902DA"/>
    <w:rsid w:val="00391B08"/>
    <w:rsid w:val="00392AF7"/>
    <w:rsid w:val="003A0988"/>
    <w:rsid w:val="003A353E"/>
    <w:rsid w:val="003A548D"/>
    <w:rsid w:val="003B370D"/>
    <w:rsid w:val="003B7E6D"/>
    <w:rsid w:val="003C2C25"/>
    <w:rsid w:val="003C75E6"/>
    <w:rsid w:val="003E4DF4"/>
    <w:rsid w:val="003E755E"/>
    <w:rsid w:val="003F36F6"/>
    <w:rsid w:val="003F6211"/>
    <w:rsid w:val="003F7A92"/>
    <w:rsid w:val="0040238A"/>
    <w:rsid w:val="00410EFA"/>
    <w:rsid w:val="00414064"/>
    <w:rsid w:val="00422A68"/>
    <w:rsid w:val="00423B05"/>
    <w:rsid w:val="00424D23"/>
    <w:rsid w:val="00430DFA"/>
    <w:rsid w:val="00431353"/>
    <w:rsid w:val="00431A14"/>
    <w:rsid w:val="00432950"/>
    <w:rsid w:val="00434FCB"/>
    <w:rsid w:val="00435C2D"/>
    <w:rsid w:val="0044721A"/>
    <w:rsid w:val="00462197"/>
    <w:rsid w:val="004646E5"/>
    <w:rsid w:val="004711DA"/>
    <w:rsid w:val="00480FD5"/>
    <w:rsid w:val="004952C1"/>
    <w:rsid w:val="004B4C93"/>
    <w:rsid w:val="004B7D83"/>
    <w:rsid w:val="004C0563"/>
    <w:rsid w:val="004C1860"/>
    <w:rsid w:val="004C7148"/>
    <w:rsid w:val="004D2E4D"/>
    <w:rsid w:val="004E4A2C"/>
    <w:rsid w:val="004E6227"/>
    <w:rsid w:val="004F1ED8"/>
    <w:rsid w:val="0053134A"/>
    <w:rsid w:val="00535FFC"/>
    <w:rsid w:val="00536AB0"/>
    <w:rsid w:val="00537F28"/>
    <w:rsid w:val="00541900"/>
    <w:rsid w:val="005530BB"/>
    <w:rsid w:val="00553E6C"/>
    <w:rsid w:val="005568B8"/>
    <w:rsid w:val="00560811"/>
    <w:rsid w:val="005629B7"/>
    <w:rsid w:val="00567485"/>
    <w:rsid w:val="00567888"/>
    <w:rsid w:val="00585E34"/>
    <w:rsid w:val="00586709"/>
    <w:rsid w:val="00587F2A"/>
    <w:rsid w:val="0059109D"/>
    <w:rsid w:val="005939AC"/>
    <w:rsid w:val="005A0BAD"/>
    <w:rsid w:val="005A16BD"/>
    <w:rsid w:val="005A3DCF"/>
    <w:rsid w:val="005B1CD2"/>
    <w:rsid w:val="005B1F69"/>
    <w:rsid w:val="005B4F16"/>
    <w:rsid w:val="005B7727"/>
    <w:rsid w:val="005E35C9"/>
    <w:rsid w:val="005F13FF"/>
    <w:rsid w:val="005F5CAB"/>
    <w:rsid w:val="00604FC2"/>
    <w:rsid w:val="006072F8"/>
    <w:rsid w:val="00607FB4"/>
    <w:rsid w:val="00626000"/>
    <w:rsid w:val="0063709A"/>
    <w:rsid w:val="006451F8"/>
    <w:rsid w:val="0064763E"/>
    <w:rsid w:val="00664111"/>
    <w:rsid w:val="006804B2"/>
    <w:rsid w:val="006841D4"/>
    <w:rsid w:val="00686AD3"/>
    <w:rsid w:val="00693335"/>
    <w:rsid w:val="00696FE2"/>
    <w:rsid w:val="006A3483"/>
    <w:rsid w:val="006B2680"/>
    <w:rsid w:val="006C6806"/>
    <w:rsid w:val="006D1D62"/>
    <w:rsid w:val="006E0BBF"/>
    <w:rsid w:val="006E2927"/>
    <w:rsid w:val="006E6247"/>
    <w:rsid w:val="006E6764"/>
    <w:rsid w:val="006E69A3"/>
    <w:rsid w:val="006F7840"/>
    <w:rsid w:val="00702D4A"/>
    <w:rsid w:val="007138B7"/>
    <w:rsid w:val="007138F8"/>
    <w:rsid w:val="007176CD"/>
    <w:rsid w:val="00720D6D"/>
    <w:rsid w:val="00727AA3"/>
    <w:rsid w:val="00730E66"/>
    <w:rsid w:val="00732235"/>
    <w:rsid w:val="00733F2C"/>
    <w:rsid w:val="007356DB"/>
    <w:rsid w:val="00740148"/>
    <w:rsid w:val="00744538"/>
    <w:rsid w:val="00744EF5"/>
    <w:rsid w:val="00747239"/>
    <w:rsid w:val="00751C67"/>
    <w:rsid w:val="00752D3A"/>
    <w:rsid w:val="00753FAD"/>
    <w:rsid w:val="00763D00"/>
    <w:rsid w:val="00781A92"/>
    <w:rsid w:val="007825FC"/>
    <w:rsid w:val="007873BC"/>
    <w:rsid w:val="00791257"/>
    <w:rsid w:val="007924F6"/>
    <w:rsid w:val="00792630"/>
    <w:rsid w:val="00793B07"/>
    <w:rsid w:val="007B4CA5"/>
    <w:rsid w:val="007B766A"/>
    <w:rsid w:val="007C4053"/>
    <w:rsid w:val="007C60D0"/>
    <w:rsid w:val="007D1669"/>
    <w:rsid w:val="007D67A8"/>
    <w:rsid w:val="007E232D"/>
    <w:rsid w:val="007E507C"/>
    <w:rsid w:val="00810244"/>
    <w:rsid w:val="00814093"/>
    <w:rsid w:val="00814D27"/>
    <w:rsid w:val="008173F6"/>
    <w:rsid w:val="00823B1E"/>
    <w:rsid w:val="00826C5A"/>
    <w:rsid w:val="00835370"/>
    <w:rsid w:val="008408A1"/>
    <w:rsid w:val="00843561"/>
    <w:rsid w:val="00876807"/>
    <w:rsid w:val="008815A9"/>
    <w:rsid w:val="008831A7"/>
    <w:rsid w:val="00886A5F"/>
    <w:rsid w:val="00886B77"/>
    <w:rsid w:val="00891583"/>
    <w:rsid w:val="008941ED"/>
    <w:rsid w:val="00894E0E"/>
    <w:rsid w:val="008A16A1"/>
    <w:rsid w:val="008A2665"/>
    <w:rsid w:val="008A5B3D"/>
    <w:rsid w:val="008A5C80"/>
    <w:rsid w:val="008B11F0"/>
    <w:rsid w:val="008B3FED"/>
    <w:rsid w:val="008B4A75"/>
    <w:rsid w:val="008B4D39"/>
    <w:rsid w:val="008C1011"/>
    <w:rsid w:val="008D04EB"/>
    <w:rsid w:val="008D0D1D"/>
    <w:rsid w:val="008D1492"/>
    <w:rsid w:val="008D4773"/>
    <w:rsid w:val="008E1490"/>
    <w:rsid w:val="008E40DB"/>
    <w:rsid w:val="008F1CD0"/>
    <w:rsid w:val="008F75BF"/>
    <w:rsid w:val="00912713"/>
    <w:rsid w:val="009248A8"/>
    <w:rsid w:val="0093599C"/>
    <w:rsid w:val="00936255"/>
    <w:rsid w:val="00940325"/>
    <w:rsid w:val="00942F35"/>
    <w:rsid w:val="0095064D"/>
    <w:rsid w:val="009535CD"/>
    <w:rsid w:val="009623C2"/>
    <w:rsid w:val="00966A84"/>
    <w:rsid w:val="00973379"/>
    <w:rsid w:val="00973A7A"/>
    <w:rsid w:val="00977815"/>
    <w:rsid w:val="00984590"/>
    <w:rsid w:val="00984B1C"/>
    <w:rsid w:val="00986401"/>
    <w:rsid w:val="009926E8"/>
    <w:rsid w:val="009953F7"/>
    <w:rsid w:val="009A2A2D"/>
    <w:rsid w:val="009B4897"/>
    <w:rsid w:val="009C0492"/>
    <w:rsid w:val="009C10AB"/>
    <w:rsid w:val="009C161C"/>
    <w:rsid w:val="009C5E14"/>
    <w:rsid w:val="009C6934"/>
    <w:rsid w:val="009D20D4"/>
    <w:rsid w:val="009D6400"/>
    <w:rsid w:val="009E1311"/>
    <w:rsid w:val="009E2518"/>
    <w:rsid w:val="009E2EAA"/>
    <w:rsid w:val="009E6A87"/>
    <w:rsid w:val="009E6CDB"/>
    <w:rsid w:val="009F01AC"/>
    <w:rsid w:val="009F6676"/>
    <w:rsid w:val="009F6F08"/>
    <w:rsid w:val="009F718C"/>
    <w:rsid w:val="00A05490"/>
    <w:rsid w:val="00A05E28"/>
    <w:rsid w:val="00A12C43"/>
    <w:rsid w:val="00A21DB2"/>
    <w:rsid w:val="00A25B8C"/>
    <w:rsid w:val="00A34682"/>
    <w:rsid w:val="00A34B86"/>
    <w:rsid w:val="00A43B96"/>
    <w:rsid w:val="00A53444"/>
    <w:rsid w:val="00A57DAC"/>
    <w:rsid w:val="00A717C7"/>
    <w:rsid w:val="00A72A18"/>
    <w:rsid w:val="00A750CE"/>
    <w:rsid w:val="00A7741E"/>
    <w:rsid w:val="00A7798E"/>
    <w:rsid w:val="00A80BE9"/>
    <w:rsid w:val="00A867D0"/>
    <w:rsid w:val="00A87349"/>
    <w:rsid w:val="00AA23F9"/>
    <w:rsid w:val="00AB3F64"/>
    <w:rsid w:val="00AB5313"/>
    <w:rsid w:val="00AB6619"/>
    <w:rsid w:val="00AD3992"/>
    <w:rsid w:val="00AE3D92"/>
    <w:rsid w:val="00AE5019"/>
    <w:rsid w:val="00AF0926"/>
    <w:rsid w:val="00AF4981"/>
    <w:rsid w:val="00B0214E"/>
    <w:rsid w:val="00B070D0"/>
    <w:rsid w:val="00B127F4"/>
    <w:rsid w:val="00B23BF1"/>
    <w:rsid w:val="00B25B72"/>
    <w:rsid w:val="00B2719A"/>
    <w:rsid w:val="00B33EF9"/>
    <w:rsid w:val="00B34784"/>
    <w:rsid w:val="00B366F2"/>
    <w:rsid w:val="00B62894"/>
    <w:rsid w:val="00B71622"/>
    <w:rsid w:val="00B82BE3"/>
    <w:rsid w:val="00B94B0D"/>
    <w:rsid w:val="00BA1E77"/>
    <w:rsid w:val="00BA1F3A"/>
    <w:rsid w:val="00BA3365"/>
    <w:rsid w:val="00BC2CC2"/>
    <w:rsid w:val="00BC6AA7"/>
    <w:rsid w:val="00BD3E81"/>
    <w:rsid w:val="00BE0C01"/>
    <w:rsid w:val="00BE314F"/>
    <w:rsid w:val="00BF34E5"/>
    <w:rsid w:val="00C12442"/>
    <w:rsid w:val="00C22B05"/>
    <w:rsid w:val="00C2355F"/>
    <w:rsid w:val="00C257FD"/>
    <w:rsid w:val="00C34251"/>
    <w:rsid w:val="00C504D1"/>
    <w:rsid w:val="00C5249D"/>
    <w:rsid w:val="00C5389E"/>
    <w:rsid w:val="00C61A80"/>
    <w:rsid w:val="00C64325"/>
    <w:rsid w:val="00C809CC"/>
    <w:rsid w:val="00C85A7F"/>
    <w:rsid w:val="00C86EDE"/>
    <w:rsid w:val="00C92C88"/>
    <w:rsid w:val="00CA5C8E"/>
    <w:rsid w:val="00CB1A44"/>
    <w:rsid w:val="00CB3FF9"/>
    <w:rsid w:val="00CB48F5"/>
    <w:rsid w:val="00CC1662"/>
    <w:rsid w:val="00CE2F08"/>
    <w:rsid w:val="00CE4A51"/>
    <w:rsid w:val="00CF2241"/>
    <w:rsid w:val="00D02934"/>
    <w:rsid w:val="00D02D5C"/>
    <w:rsid w:val="00D0487D"/>
    <w:rsid w:val="00D17C24"/>
    <w:rsid w:val="00D17C83"/>
    <w:rsid w:val="00D20A48"/>
    <w:rsid w:val="00D46A9E"/>
    <w:rsid w:val="00D4751C"/>
    <w:rsid w:val="00D47714"/>
    <w:rsid w:val="00D477A0"/>
    <w:rsid w:val="00D5003B"/>
    <w:rsid w:val="00D6653F"/>
    <w:rsid w:val="00D74E6E"/>
    <w:rsid w:val="00D80CA4"/>
    <w:rsid w:val="00D82744"/>
    <w:rsid w:val="00D82BA0"/>
    <w:rsid w:val="00D87340"/>
    <w:rsid w:val="00D90D13"/>
    <w:rsid w:val="00D94F3C"/>
    <w:rsid w:val="00DA01A3"/>
    <w:rsid w:val="00DA4BEE"/>
    <w:rsid w:val="00DA742D"/>
    <w:rsid w:val="00DA7555"/>
    <w:rsid w:val="00DB3386"/>
    <w:rsid w:val="00DB3B6D"/>
    <w:rsid w:val="00DB513E"/>
    <w:rsid w:val="00DB76AD"/>
    <w:rsid w:val="00DC400C"/>
    <w:rsid w:val="00DC636B"/>
    <w:rsid w:val="00DD0566"/>
    <w:rsid w:val="00DD1131"/>
    <w:rsid w:val="00DF403C"/>
    <w:rsid w:val="00E03364"/>
    <w:rsid w:val="00E03D7E"/>
    <w:rsid w:val="00E14585"/>
    <w:rsid w:val="00E1564E"/>
    <w:rsid w:val="00E15B20"/>
    <w:rsid w:val="00E24BBF"/>
    <w:rsid w:val="00E34586"/>
    <w:rsid w:val="00E346FD"/>
    <w:rsid w:val="00E3614B"/>
    <w:rsid w:val="00E36462"/>
    <w:rsid w:val="00E40DE4"/>
    <w:rsid w:val="00E4273B"/>
    <w:rsid w:val="00E45BE5"/>
    <w:rsid w:val="00E47E87"/>
    <w:rsid w:val="00E53CB1"/>
    <w:rsid w:val="00E57B83"/>
    <w:rsid w:val="00E62192"/>
    <w:rsid w:val="00E6431E"/>
    <w:rsid w:val="00E70E05"/>
    <w:rsid w:val="00E71B2A"/>
    <w:rsid w:val="00E81084"/>
    <w:rsid w:val="00E86415"/>
    <w:rsid w:val="00E90AF8"/>
    <w:rsid w:val="00E9662E"/>
    <w:rsid w:val="00EB1088"/>
    <w:rsid w:val="00EB4411"/>
    <w:rsid w:val="00EC368C"/>
    <w:rsid w:val="00EC4725"/>
    <w:rsid w:val="00EC7A9D"/>
    <w:rsid w:val="00EE1430"/>
    <w:rsid w:val="00EE201D"/>
    <w:rsid w:val="00EE4D6F"/>
    <w:rsid w:val="00EF2C56"/>
    <w:rsid w:val="00F11865"/>
    <w:rsid w:val="00F13D79"/>
    <w:rsid w:val="00F14457"/>
    <w:rsid w:val="00F155F6"/>
    <w:rsid w:val="00F17037"/>
    <w:rsid w:val="00F17663"/>
    <w:rsid w:val="00F25DE0"/>
    <w:rsid w:val="00F263B4"/>
    <w:rsid w:val="00F30BCB"/>
    <w:rsid w:val="00F34342"/>
    <w:rsid w:val="00F42D8A"/>
    <w:rsid w:val="00F4729C"/>
    <w:rsid w:val="00F513B5"/>
    <w:rsid w:val="00F57412"/>
    <w:rsid w:val="00F57913"/>
    <w:rsid w:val="00F65C94"/>
    <w:rsid w:val="00F7021E"/>
    <w:rsid w:val="00F7609F"/>
    <w:rsid w:val="00F7794D"/>
    <w:rsid w:val="00F8665A"/>
    <w:rsid w:val="00F91518"/>
    <w:rsid w:val="00F926DD"/>
    <w:rsid w:val="00FA007A"/>
    <w:rsid w:val="00FB442F"/>
    <w:rsid w:val="00FC4F4C"/>
    <w:rsid w:val="00FC5641"/>
    <w:rsid w:val="00FE0468"/>
    <w:rsid w:val="00FF4934"/>
    <w:rsid w:val="00FF5299"/>
    <w:rsid w:val="00FF6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2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18EB"/>
    <w:pPr>
      <w:spacing w:before="60" w:line="264" w:lineRule="auto"/>
      <w:ind w:firstLine="720"/>
      <w:jc w:val="both"/>
    </w:pPr>
    <w:rPr>
      <w:rFonts w:ascii=".VnTime" w:hAnsi=".VnTime"/>
      <w:sz w:val="26"/>
      <w:szCs w:val="20"/>
    </w:rPr>
  </w:style>
  <w:style w:type="character" w:customStyle="1" w:styleId="BodyTextIndentChar">
    <w:name w:val="Body Text Indent Char"/>
    <w:link w:val="BodyTextIndent"/>
    <w:rsid w:val="002F18EB"/>
    <w:rPr>
      <w:rFonts w:ascii=".VnTime" w:hAnsi=".VnTime"/>
      <w:sz w:val="26"/>
      <w:lang w:val="en-US" w:eastAsia="en-US" w:bidi="ar-SA"/>
    </w:rPr>
  </w:style>
  <w:style w:type="character" w:styleId="PageNumber">
    <w:name w:val="page number"/>
    <w:basedOn w:val="DefaultParagraphFont"/>
    <w:rsid w:val="002F18EB"/>
  </w:style>
  <w:style w:type="paragraph" w:styleId="Footer">
    <w:name w:val="footer"/>
    <w:basedOn w:val="Normal"/>
    <w:link w:val="FooterChar"/>
    <w:rsid w:val="002F18EB"/>
    <w:pPr>
      <w:tabs>
        <w:tab w:val="center" w:pos="4320"/>
        <w:tab w:val="right" w:pos="8640"/>
      </w:tabs>
    </w:pPr>
    <w:rPr>
      <w:sz w:val="28"/>
      <w:szCs w:val="28"/>
    </w:rPr>
  </w:style>
  <w:style w:type="character" w:customStyle="1" w:styleId="FooterChar">
    <w:name w:val="Footer Char"/>
    <w:link w:val="Footer"/>
    <w:rsid w:val="002F18EB"/>
    <w:rPr>
      <w:sz w:val="28"/>
      <w:szCs w:val="28"/>
      <w:lang w:val="en-US" w:eastAsia="en-US" w:bidi="ar-SA"/>
    </w:rPr>
  </w:style>
  <w:style w:type="paragraph" w:styleId="Header">
    <w:name w:val="header"/>
    <w:basedOn w:val="Normal"/>
    <w:link w:val="HeaderChar"/>
    <w:uiPriority w:val="99"/>
    <w:unhideWhenUsed/>
    <w:rsid w:val="002F18EB"/>
    <w:pPr>
      <w:tabs>
        <w:tab w:val="center" w:pos="4680"/>
        <w:tab w:val="right" w:pos="9360"/>
      </w:tabs>
    </w:pPr>
  </w:style>
  <w:style w:type="character" w:customStyle="1" w:styleId="HeaderChar">
    <w:name w:val="Header Char"/>
    <w:link w:val="Header"/>
    <w:uiPriority w:val="99"/>
    <w:rsid w:val="002F18EB"/>
    <w:rPr>
      <w:sz w:val="24"/>
      <w:szCs w:val="24"/>
      <w:lang w:val="en-US" w:eastAsia="en-US" w:bidi="ar-SA"/>
    </w:rPr>
  </w:style>
  <w:style w:type="paragraph" w:styleId="BodyText2">
    <w:name w:val="Body Text 2"/>
    <w:basedOn w:val="Normal"/>
    <w:link w:val="BodyText2Char"/>
    <w:rsid w:val="00CE2F08"/>
    <w:pPr>
      <w:spacing w:after="120" w:line="480" w:lineRule="auto"/>
    </w:pPr>
  </w:style>
  <w:style w:type="character" w:customStyle="1" w:styleId="BodyText2Char">
    <w:name w:val="Body Text 2 Char"/>
    <w:link w:val="BodyText2"/>
    <w:rsid w:val="00CE2F08"/>
    <w:rPr>
      <w:sz w:val="24"/>
      <w:szCs w:val="24"/>
    </w:rPr>
  </w:style>
  <w:style w:type="paragraph" w:styleId="NormalWeb">
    <w:name w:val="Normal (Web)"/>
    <w:basedOn w:val="Normal"/>
    <w:link w:val="NormalWebChar"/>
    <w:uiPriority w:val="99"/>
    <w:rsid w:val="00CE2F08"/>
    <w:pPr>
      <w:spacing w:before="100" w:beforeAutospacing="1" w:after="100" w:afterAutospacing="1"/>
    </w:pPr>
    <w:rPr>
      <w:lang w:val="vi-VN" w:eastAsia="vi-VN"/>
    </w:rPr>
  </w:style>
  <w:style w:type="character" w:customStyle="1" w:styleId="apple-converted-space">
    <w:name w:val="apple-converted-space"/>
    <w:rsid w:val="00CE2F08"/>
  </w:style>
  <w:style w:type="character" w:styleId="Strong">
    <w:name w:val="Strong"/>
    <w:uiPriority w:val="22"/>
    <w:qFormat/>
    <w:rsid w:val="007C4053"/>
    <w:rPr>
      <w:b/>
      <w:bCs/>
    </w:rPr>
  </w:style>
  <w:style w:type="character" w:styleId="Emphasis">
    <w:name w:val="Emphasis"/>
    <w:uiPriority w:val="20"/>
    <w:qFormat/>
    <w:rsid w:val="000E4D6A"/>
    <w:rPr>
      <w:i/>
      <w:iCs/>
    </w:rPr>
  </w:style>
  <w:style w:type="character" w:styleId="Hyperlink">
    <w:name w:val="Hyperlink"/>
    <w:uiPriority w:val="99"/>
    <w:unhideWhenUsed/>
    <w:rsid w:val="00BA3365"/>
    <w:rPr>
      <w:color w:val="0000FF"/>
      <w:u w:val="single"/>
    </w:rPr>
  </w:style>
  <w:style w:type="paragraph" w:customStyle="1" w:styleId="style1">
    <w:name w:val="style1"/>
    <w:basedOn w:val="Normal"/>
    <w:rsid w:val="00AF0926"/>
    <w:pPr>
      <w:spacing w:before="100" w:beforeAutospacing="1" w:after="100" w:afterAutospacing="1"/>
    </w:pPr>
  </w:style>
  <w:style w:type="paragraph" w:styleId="BodyText">
    <w:name w:val="Body Text"/>
    <w:aliases w:val="Body Text Char Char Char"/>
    <w:basedOn w:val="Normal"/>
    <w:link w:val="BodyTextChar"/>
    <w:rsid w:val="006804B2"/>
    <w:pPr>
      <w:spacing w:after="120"/>
    </w:pPr>
    <w:rPr>
      <w:rFonts w:ascii=".VnTime" w:hAnsi=".VnTime"/>
      <w:sz w:val="28"/>
    </w:rPr>
  </w:style>
  <w:style w:type="character" w:customStyle="1" w:styleId="BodyTextChar">
    <w:name w:val="Body Text Char"/>
    <w:aliases w:val="Body Text Char Char Char Char"/>
    <w:basedOn w:val="DefaultParagraphFont"/>
    <w:link w:val="BodyText"/>
    <w:rsid w:val="006804B2"/>
    <w:rPr>
      <w:rFonts w:ascii=".VnTime" w:hAnsi=".VnTime"/>
      <w:sz w:val="28"/>
      <w:szCs w:val="24"/>
    </w:rPr>
  </w:style>
  <w:style w:type="paragraph" w:styleId="BalloonText">
    <w:name w:val="Balloon Text"/>
    <w:basedOn w:val="Normal"/>
    <w:link w:val="BalloonTextChar"/>
    <w:rsid w:val="00041FB6"/>
    <w:rPr>
      <w:rFonts w:ascii="Tahoma" w:hAnsi="Tahoma" w:cs="Tahoma"/>
      <w:sz w:val="16"/>
      <w:szCs w:val="16"/>
    </w:rPr>
  </w:style>
  <w:style w:type="character" w:customStyle="1" w:styleId="BalloonTextChar">
    <w:name w:val="Balloon Text Char"/>
    <w:basedOn w:val="DefaultParagraphFont"/>
    <w:link w:val="BalloonText"/>
    <w:rsid w:val="00041FB6"/>
    <w:rPr>
      <w:rFonts w:ascii="Tahoma" w:hAnsi="Tahoma" w:cs="Tahoma"/>
      <w:sz w:val="16"/>
      <w:szCs w:val="16"/>
      <w:lang w:val="en-US" w:eastAsia="en-US"/>
    </w:rPr>
  </w:style>
  <w:style w:type="table" w:styleId="TableGrid">
    <w:name w:val="Table Grid"/>
    <w:basedOn w:val="TableNormal"/>
    <w:rsid w:val="000E2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6451F8"/>
    <w:rPr>
      <w:sz w:val="24"/>
      <w:szCs w:val="24"/>
    </w:rPr>
  </w:style>
  <w:style w:type="paragraph" w:customStyle="1" w:styleId="s14">
    <w:name w:val="s14"/>
    <w:basedOn w:val="Normal"/>
    <w:rsid w:val="006451F8"/>
    <w:pPr>
      <w:spacing w:before="100" w:beforeAutospacing="1" w:after="100" w:afterAutospacing="1"/>
    </w:pPr>
    <w:rPr>
      <w:rFonts w:eastAsia="Arial"/>
      <w:lang w:val="vi-VN" w:eastAsia="vi-VN"/>
    </w:rPr>
  </w:style>
  <w:style w:type="character" w:customStyle="1" w:styleId="bumpedfont15">
    <w:name w:val="bumpedfont15"/>
    <w:basedOn w:val="DefaultParagraphFont"/>
    <w:rsid w:val="006451F8"/>
  </w:style>
  <w:style w:type="paragraph" w:styleId="ListParagraph">
    <w:name w:val="List Paragraph"/>
    <w:basedOn w:val="Normal"/>
    <w:uiPriority w:val="34"/>
    <w:qFormat/>
    <w:rsid w:val="00F513B5"/>
    <w:pPr>
      <w:ind w:left="720"/>
      <w:contextualSpacing/>
    </w:pPr>
  </w:style>
</w:styles>
</file>

<file path=word/webSettings.xml><?xml version="1.0" encoding="utf-8"?>
<w:webSettings xmlns:r="http://schemas.openxmlformats.org/officeDocument/2006/relationships" xmlns:w="http://schemas.openxmlformats.org/wordprocessingml/2006/main">
  <w:divs>
    <w:div w:id="215892496">
      <w:bodyDiv w:val="1"/>
      <w:marLeft w:val="0"/>
      <w:marRight w:val="0"/>
      <w:marTop w:val="0"/>
      <w:marBottom w:val="0"/>
      <w:divBdr>
        <w:top w:val="none" w:sz="0" w:space="0" w:color="auto"/>
        <w:left w:val="none" w:sz="0" w:space="0" w:color="auto"/>
        <w:bottom w:val="none" w:sz="0" w:space="0" w:color="auto"/>
        <w:right w:val="none" w:sz="0" w:space="0" w:color="auto"/>
      </w:divBdr>
    </w:div>
    <w:div w:id="218631356">
      <w:bodyDiv w:val="1"/>
      <w:marLeft w:val="0"/>
      <w:marRight w:val="0"/>
      <w:marTop w:val="0"/>
      <w:marBottom w:val="0"/>
      <w:divBdr>
        <w:top w:val="none" w:sz="0" w:space="0" w:color="auto"/>
        <w:left w:val="none" w:sz="0" w:space="0" w:color="auto"/>
        <w:bottom w:val="none" w:sz="0" w:space="0" w:color="auto"/>
        <w:right w:val="none" w:sz="0" w:space="0" w:color="auto"/>
      </w:divBdr>
    </w:div>
    <w:div w:id="728118242">
      <w:bodyDiv w:val="1"/>
      <w:marLeft w:val="0"/>
      <w:marRight w:val="0"/>
      <w:marTop w:val="0"/>
      <w:marBottom w:val="0"/>
      <w:divBdr>
        <w:top w:val="none" w:sz="0" w:space="0" w:color="auto"/>
        <w:left w:val="none" w:sz="0" w:space="0" w:color="auto"/>
        <w:bottom w:val="none" w:sz="0" w:space="0" w:color="auto"/>
        <w:right w:val="none" w:sz="0" w:space="0" w:color="auto"/>
      </w:divBdr>
    </w:div>
    <w:div w:id="757559235">
      <w:bodyDiv w:val="1"/>
      <w:marLeft w:val="0"/>
      <w:marRight w:val="0"/>
      <w:marTop w:val="0"/>
      <w:marBottom w:val="0"/>
      <w:divBdr>
        <w:top w:val="none" w:sz="0" w:space="0" w:color="auto"/>
        <w:left w:val="none" w:sz="0" w:space="0" w:color="auto"/>
        <w:bottom w:val="none" w:sz="0" w:space="0" w:color="auto"/>
        <w:right w:val="none" w:sz="0" w:space="0" w:color="auto"/>
      </w:divBdr>
    </w:div>
    <w:div w:id="917131549">
      <w:bodyDiv w:val="1"/>
      <w:marLeft w:val="0"/>
      <w:marRight w:val="0"/>
      <w:marTop w:val="0"/>
      <w:marBottom w:val="0"/>
      <w:divBdr>
        <w:top w:val="none" w:sz="0" w:space="0" w:color="auto"/>
        <w:left w:val="none" w:sz="0" w:space="0" w:color="auto"/>
        <w:bottom w:val="none" w:sz="0" w:space="0" w:color="auto"/>
        <w:right w:val="none" w:sz="0" w:space="0" w:color="auto"/>
      </w:divBdr>
    </w:div>
    <w:div w:id="1407607489">
      <w:bodyDiv w:val="1"/>
      <w:marLeft w:val="0"/>
      <w:marRight w:val="0"/>
      <w:marTop w:val="0"/>
      <w:marBottom w:val="0"/>
      <w:divBdr>
        <w:top w:val="none" w:sz="0" w:space="0" w:color="auto"/>
        <w:left w:val="none" w:sz="0" w:space="0" w:color="auto"/>
        <w:bottom w:val="none" w:sz="0" w:space="0" w:color="auto"/>
        <w:right w:val="none" w:sz="0" w:space="0" w:color="auto"/>
      </w:divBdr>
    </w:div>
    <w:div w:id="15990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BCE03-4688-441F-91A2-F73F6D3FBC0B}">
  <ds:schemaRefs>
    <ds:schemaRef ds:uri="http://schemas.microsoft.com/office/2006/metadata/properties"/>
  </ds:schemaRefs>
</ds:datastoreItem>
</file>

<file path=customXml/itemProps2.xml><?xml version="1.0" encoding="utf-8"?>
<ds:datastoreItem xmlns:ds="http://schemas.openxmlformats.org/officeDocument/2006/customXml" ds:itemID="{44A0D42B-0BA4-42BF-BAE0-92608ADEB58C}">
  <ds:schemaRefs>
    <ds:schemaRef ds:uri="http://schemas.microsoft.com/sharepoint/v3/contenttype/forms"/>
  </ds:schemaRefs>
</ds:datastoreItem>
</file>

<file path=customXml/itemProps3.xml><?xml version="1.0" encoding="utf-8"?>
<ds:datastoreItem xmlns:ds="http://schemas.openxmlformats.org/officeDocument/2006/customXml" ds:itemID="{EB857D07-0832-48E3-B960-7C1F1B67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7C2B2E-DB73-46BC-BCA0-3ADD2355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Pages>
  <Words>1765</Words>
  <Characters>6380</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BỘ TÀI CHÍNH</vt:lpstr>
    </vt:vector>
  </TitlesOfParts>
  <Company>mof</Company>
  <LinksUpToDate>false</LinksUpToDate>
  <CharactersWithSpaces>8129</CharactersWithSpaces>
  <SharedDoc>false</SharedDoc>
  <HLinks>
    <vt:vector size="18" baseType="variant">
      <vt:variant>
        <vt:i4>655449</vt:i4>
      </vt:variant>
      <vt:variant>
        <vt:i4>6</vt:i4>
      </vt:variant>
      <vt:variant>
        <vt:i4>0</vt:i4>
      </vt:variant>
      <vt:variant>
        <vt:i4>5</vt:i4>
      </vt:variant>
      <vt:variant>
        <vt:lpwstr>https://thuvienphapluat.vn/van-ban/tai-chinh-nha-nuoc/thong-tu-139-2010-tt-btc-lap-du-toan-quan-ly-su-dung-kinh-phi-tu-ngan-sach-111917.aspx</vt:lpwstr>
      </vt:variant>
      <vt:variant>
        <vt:lpwstr/>
      </vt:variant>
      <vt:variant>
        <vt:i4>7995506</vt:i4>
      </vt:variant>
      <vt:variant>
        <vt:i4>3</vt:i4>
      </vt:variant>
      <vt:variant>
        <vt:i4>0</vt:i4>
      </vt:variant>
      <vt:variant>
        <vt:i4>5</vt:i4>
      </vt:variant>
      <vt:variant>
        <vt:lpwstr>https://thuvienphapluat.vn/van-ban/tai-chinh-nha-nuoc/thong-tu-01-2010-tt-btc-che-do-chi-tieu-don-tiep-khach-nuoc-ngoai-vao-lam-viec-tai-viet-nam-to-chuc-cac-hoi-nghi-hoi-thao-quoc-te-100160.aspx</vt:lpwstr>
      </vt:variant>
      <vt:variant>
        <vt:lpwstr/>
      </vt:variant>
      <vt:variant>
        <vt:i4>7864444</vt:i4>
      </vt:variant>
      <vt:variant>
        <vt:i4>0</vt:i4>
      </vt:variant>
      <vt:variant>
        <vt:i4>0</vt:i4>
      </vt:variant>
      <vt:variant>
        <vt:i4>5</vt:i4>
      </vt:variant>
      <vt:variant>
        <vt:lpwstr>https://thuvienphapluat.vn/van-ban/bo-may-hanh-chinh/thong-tu-40-2017-tt-btc-cong-tac-phi-chi-hoi-nghi-doi-voi-co-quan-nha-nuoc-su-nghiep-cong-lap-327960.aspx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mof</dc:creator>
  <cp:lastModifiedBy>Vu Minh Dung</cp:lastModifiedBy>
  <cp:revision>26</cp:revision>
  <cp:lastPrinted>2025-07-23T07:57:00Z</cp:lastPrinted>
  <dcterms:created xsi:type="dcterms:W3CDTF">2025-02-20T10:54:00Z</dcterms:created>
  <dcterms:modified xsi:type="dcterms:W3CDTF">2025-07-30T08:34:00Z</dcterms:modified>
</cp:coreProperties>
</file>