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5310"/>
      </w:tblGrid>
      <w:tr w:rsidR="00A4478B" w:rsidRPr="00A4478B" w14:paraId="54A48FC2" w14:textId="77777777" w:rsidTr="00B55EE7">
        <w:tc>
          <w:tcPr>
            <w:tcW w:w="3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6DBF1" w14:textId="51493D64" w:rsidR="00A4478B" w:rsidRPr="00E378E9" w:rsidRDefault="00A4478B" w:rsidP="00A4478B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PHÒNG GDĐT </w:t>
            </w:r>
          </w:p>
          <w:p w14:paraId="3C808172" w14:textId="5AF92D92" w:rsidR="00A4478B" w:rsidRPr="00E378E9" w:rsidRDefault="00A4478B" w:rsidP="00A4478B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TRƯỜNG THCS</w:t>
            </w:r>
          </w:p>
          <w:p w14:paraId="28F2C48A" w14:textId="08324DDF" w:rsidR="00A4478B" w:rsidRPr="00E378E9" w:rsidRDefault="00A4478B" w:rsidP="00A4478B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="00E378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...</w:t>
            </w:r>
            <w:r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/BC-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6A989C" w14:textId="77777777" w:rsidR="00A4478B" w:rsidRPr="00E378E9" w:rsidRDefault="00A4478B" w:rsidP="00A4478B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 w:rsidRPr="00E378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CỘNG HÒA XÃ HỘI CHỦ NGHĨA VIỆT NAM</w:t>
            </w:r>
          </w:p>
          <w:p w14:paraId="086D4E2D" w14:textId="77777777" w:rsidR="00A4478B" w:rsidRPr="00A4478B" w:rsidRDefault="00A4478B" w:rsidP="00A4478B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Độc</w:t>
            </w:r>
            <w:proofErr w:type="spellEnd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lập</w:t>
            </w:r>
            <w:proofErr w:type="spellEnd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- </w:t>
            </w: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Tự</w:t>
            </w:r>
            <w:proofErr w:type="spellEnd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do - </w:t>
            </w: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Hạnh</w:t>
            </w:r>
            <w:proofErr w:type="spellEnd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phúc</w:t>
            </w:r>
            <w:proofErr w:type="spellEnd"/>
          </w:p>
          <w:p w14:paraId="645CBBFC" w14:textId="29392181" w:rsidR="00A4478B" w:rsidRPr="00A4478B" w:rsidRDefault="00E378E9" w:rsidP="00B55EE7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.............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........... </w:t>
            </w:r>
            <w:proofErr w:type="spellStart"/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...... </w:t>
            </w:r>
            <w:proofErr w:type="spellStart"/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...........</w:t>
            </w:r>
          </w:p>
        </w:tc>
      </w:tr>
    </w:tbl>
    <w:p w14:paraId="482BDDD1" w14:textId="77777777" w:rsidR="00B55EE7" w:rsidRDefault="00B55EE7" w:rsidP="00A4478B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5E97AAF" w14:textId="77777777" w:rsidR="00A4478B" w:rsidRPr="00C42DA8" w:rsidRDefault="00A4478B" w:rsidP="00E378E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C42DA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BÁO CÁO</w:t>
      </w:r>
    </w:p>
    <w:p w14:paraId="79146AA8" w14:textId="18215795" w:rsidR="00A4478B" w:rsidRPr="00C42DA8" w:rsidRDefault="00A4478B" w:rsidP="00E378E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vi-VN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KẾT QUẢ THỰC HIỆN CHƯƠNG TRÌNH GIÁO DỤC PHỔ THÔNG 2018</w:t>
      </w:r>
    </w:p>
    <w:p w14:paraId="1F4C9C21" w14:textId="77777777" w:rsidR="00A339B2" w:rsidRPr="00A4478B" w:rsidRDefault="00A339B2" w:rsidP="00E378E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90E6372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I. 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Đặc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điểm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tình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hình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chung</w:t>
      </w:r>
      <w:proofErr w:type="spellEnd"/>
    </w:p>
    <w:p w14:paraId="1809F4DE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1.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Thuận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lợi</w:t>
      </w:r>
      <w:proofErr w:type="spellEnd"/>
    </w:p>
    <w:p w14:paraId="5103A411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Đào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</w:p>
    <w:p w14:paraId="13B9FB97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ngũ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huyết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vững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bước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0F59A68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Ban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cha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mẹ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2018.</w:t>
      </w:r>
    </w:p>
    <w:p w14:paraId="49317DB8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2018.</w:t>
      </w:r>
    </w:p>
    <w:p w14:paraId="0AB0D1F1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2.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Khó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khăn</w:t>
      </w:r>
      <w:proofErr w:type="spellEnd"/>
    </w:p>
    <w:p w14:paraId="173ED7BF" w14:textId="0FC70E2F" w:rsidR="00A339B2" w:rsidRPr="00E378E9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Học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đều,giáo</w:t>
      </w:r>
      <w:proofErr w:type="spellEnd"/>
      <w:proofErr w:type="gram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gặp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0E775E1" w14:textId="77777777" w:rsidR="00A4478B" w:rsidRPr="00E378E9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E37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vi-VN"/>
          <w14:ligatures w14:val="none"/>
        </w:rPr>
        <w:t>II. Chuẩn bị các điều kiện để triển khai thực hiện</w:t>
      </w:r>
    </w:p>
    <w:p w14:paraId="2AA21B1F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1. Công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tác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tuyên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truyền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tham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mưu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huy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động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nguồn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lực</w:t>
      </w:r>
      <w:proofErr w:type="spellEnd"/>
    </w:p>
    <w:p w14:paraId="27F73AB2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Thành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ban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ngân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2018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Thành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SGK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2938E9D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Ban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CNHS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góp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SGK,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CNHS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chuẩn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hè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1D2EF9C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2.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Cở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sở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vật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chất</w:t>
      </w:r>
      <w:proofErr w:type="spellEnd"/>
    </w:p>
    <w:p w14:paraId="143EED98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proofErr w:type="gram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4D2DA35B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- 12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AE0C14F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Trang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tivi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CNTT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SGK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B64D914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Trang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GDPT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2018.</w:t>
      </w:r>
    </w:p>
    <w:p w14:paraId="76E8A4F6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3.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viên</w:t>
      </w:r>
      <w:proofErr w:type="spellEnd"/>
    </w:p>
    <w:p w14:paraId="560D6342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3.1.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Tổ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chức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tập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huấn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(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Nêu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cụ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thể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triển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khai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tập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huấn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thuận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lợi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khó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khăn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)</w:t>
      </w:r>
    </w:p>
    <w:p w14:paraId="5AA5B869" w14:textId="77777777" w:rsidR="00A339B2" w:rsidRPr="00B55EE7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ngũ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chuẩn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vững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lâu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22A08164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huấn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SGK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huấn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huấn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Thông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32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290ACBA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tất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Thông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22/2021/TT-BGDĐT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33F156B" w14:textId="77777777" w:rsidR="00A4478B" w:rsidRPr="00A4478B" w:rsidRDefault="00A4478B" w:rsidP="00E378E9">
      <w:pPr>
        <w:shd w:val="clear" w:color="auto" w:fill="FFFFFF"/>
        <w:spacing w:before="100" w:beforeAutospacing="1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3.2.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cấu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 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giáo</w:t>
      </w:r>
      <w:proofErr w:type="spellEnd"/>
      <w:proofErr w:type="gram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viên</w:t>
      </w:r>
      <w:proofErr w:type="spellEnd"/>
    </w:p>
    <w:p w14:paraId="2625660B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GV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</w:t>
      </w:r>
    </w:p>
    <w:p w14:paraId="03C87901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Ngữ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:...</w:t>
      </w:r>
      <w:proofErr w:type="gram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GV,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:... GV,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Anh... GV, GDCD... GV,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Lịch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Địa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:.... GV, KHTN</w:t>
      </w:r>
      <w:proofErr w:type="gram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GV, Công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......... GV, Tin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proofErr w:type="gram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GV, GDTC</w:t>
      </w:r>
      <w:proofErr w:type="gram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GV,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thuât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:...... GV,..</w:t>
      </w:r>
    </w:p>
    <w:p w14:paraId="3CD6D25C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khăn</w:t>
      </w:r>
      <w:proofErr w:type="spellEnd"/>
    </w:p>
    <w:p w14:paraId="1850F9B4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GV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</w:p>
    <w:p w14:paraId="022EF755" w14:textId="6277DD04" w:rsidR="00A339B2" w:rsidRPr="00E378E9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Môn KHTN, HĐTN HN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GV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ED337A4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III. Tổ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chức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hiện</w:t>
      </w:r>
      <w:proofErr w:type="spellEnd"/>
    </w:p>
    <w:p w14:paraId="680A7E85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1.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Xây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dựng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kế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hoạch</w:t>
      </w:r>
      <w:proofErr w:type="spellEnd"/>
    </w:p>
    <w:p w14:paraId="75A4B364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Xâu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2018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A8305EE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mở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sắp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xếp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F874604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2.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Triển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khai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hiện</w:t>
      </w:r>
      <w:proofErr w:type="spellEnd"/>
    </w:p>
    <w:p w14:paraId="2395D707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2018.</w:t>
      </w:r>
    </w:p>
    <w:p w14:paraId="4666FDA3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IV.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Kết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quả</w:t>
      </w:r>
      <w:proofErr w:type="spellEnd"/>
    </w:p>
    <w:p w14:paraId="781D24BD" w14:textId="77777777" w:rsid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1.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Kết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quả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rèn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luyện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cả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sinh</w:t>
      </w:r>
      <w:proofErr w:type="spellEnd"/>
    </w:p>
    <w:p w14:paraId="11174E4A" w14:textId="77777777" w:rsidR="00B55EE7" w:rsidRPr="00A4478B" w:rsidRDefault="00B55EE7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170"/>
        <w:gridCol w:w="1080"/>
        <w:gridCol w:w="1260"/>
        <w:gridCol w:w="1260"/>
        <w:gridCol w:w="1080"/>
        <w:gridCol w:w="1260"/>
        <w:gridCol w:w="1350"/>
      </w:tblGrid>
      <w:tr w:rsidR="00A339B2" w:rsidRPr="00B55EE7" w14:paraId="7D50B412" w14:textId="77777777" w:rsidTr="00B55EE7">
        <w:tc>
          <w:tcPr>
            <w:tcW w:w="98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32873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Lớp</w:t>
            </w:r>
            <w:proofErr w:type="spellEnd"/>
          </w:p>
        </w:tc>
        <w:tc>
          <w:tcPr>
            <w:tcW w:w="117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D3AD20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Sĩ</w:t>
            </w:r>
            <w:proofErr w:type="spellEnd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số</w:t>
            </w:r>
            <w:proofErr w:type="spellEnd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234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A58D4D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Tốt</w:t>
            </w:r>
            <w:proofErr w:type="spellEnd"/>
          </w:p>
        </w:tc>
        <w:tc>
          <w:tcPr>
            <w:tcW w:w="234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A934D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Khá</w:t>
            </w:r>
            <w:proofErr w:type="spellEnd"/>
          </w:p>
        </w:tc>
        <w:tc>
          <w:tcPr>
            <w:tcW w:w="261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199A9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Đạt</w:t>
            </w:r>
          </w:p>
        </w:tc>
      </w:tr>
      <w:tr w:rsidR="00A339B2" w:rsidRPr="00B55EE7" w14:paraId="0DFF0A9F" w14:textId="77777777" w:rsidTr="00B55EE7">
        <w:tc>
          <w:tcPr>
            <w:tcW w:w="982" w:type="dxa"/>
            <w:vMerge/>
            <w:shd w:val="clear" w:color="auto" w:fill="FFFFFF"/>
            <w:vAlign w:val="bottom"/>
            <w:hideMark/>
          </w:tcPr>
          <w:p w14:paraId="1C1901EA" w14:textId="77777777" w:rsidR="00A4478B" w:rsidRPr="00A4478B" w:rsidRDefault="00A4478B" w:rsidP="00E37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vMerge/>
            <w:shd w:val="clear" w:color="auto" w:fill="FFFFFF"/>
            <w:vAlign w:val="bottom"/>
            <w:hideMark/>
          </w:tcPr>
          <w:p w14:paraId="066B2CBA" w14:textId="77777777" w:rsidR="00A4478B" w:rsidRPr="00A4478B" w:rsidRDefault="00A4478B" w:rsidP="00E37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F9052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SL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706ED4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8C171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SL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01BA6E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59F883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SL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F86B2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</w:tr>
      <w:tr w:rsidR="00A339B2" w:rsidRPr="00B55EE7" w14:paraId="193F11EA" w14:textId="77777777" w:rsidTr="00B55EE7">
        <w:tc>
          <w:tcPr>
            <w:tcW w:w="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4732D5" w14:textId="77777777" w:rsidR="00A4478B" w:rsidRPr="00A4478B" w:rsidRDefault="00A4478B" w:rsidP="00E37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75CA48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DDE8C7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7CBBF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9033BC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D628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58B2F9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6D89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...</w:t>
            </w:r>
            <w:r w:rsidR="00A4478B"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%</w:t>
            </w:r>
          </w:p>
        </w:tc>
      </w:tr>
      <w:tr w:rsidR="00A339B2" w:rsidRPr="00B55EE7" w14:paraId="4619BD40" w14:textId="77777777" w:rsidTr="00B55EE7">
        <w:tc>
          <w:tcPr>
            <w:tcW w:w="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9EEC5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</w:t>
            </w:r>
          </w:p>
        </w:tc>
        <w:tc>
          <w:tcPr>
            <w:tcW w:w="11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DC9CA5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7228C8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933508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664C78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908C42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192C5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884C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A339B2" w:rsidRPr="00B55EE7" w14:paraId="1639302F" w14:textId="77777777" w:rsidTr="00B55EE7">
        <w:tc>
          <w:tcPr>
            <w:tcW w:w="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7E119F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1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6E4A4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2E464A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B4F22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27CBC7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C17806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2632DA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79C9A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A339B2" w:rsidRPr="00B55EE7" w14:paraId="77556C53" w14:textId="77777777" w:rsidTr="00B55EE7">
        <w:tc>
          <w:tcPr>
            <w:tcW w:w="98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FA36F2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1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A9A69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A28657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08631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D4424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BDF0F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69355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296F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</w:tbl>
    <w:p w14:paraId="2329A6AA" w14:textId="77777777" w:rsid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2.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Kết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quả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tập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cả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sinh</w:t>
      </w:r>
      <w:proofErr w:type="spellEnd"/>
    </w:p>
    <w:p w14:paraId="0FEB7AA3" w14:textId="77777777" w:rsidR="00B55EE7" w:rsidRPr="00A4478B" w:rsidRDefault="00B55EE7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048"/>
        <w:gridCol w:w="1262"/>
        <w:gridCol w:w="1227"/>
        <w:gridCol w:w="1260"/>
        <w:gridCol w:w="1080"/>
        <w:gridCol w:w="1260"/>
        <w:gridCol w:w="1350"/>
      </w:tblGrid>
      <w:tr w:rsidR="00A339B2" w:rsidRPr="00B55EE7" w14:paraId="0B78CFDF" w14:textId="77777777" w:rsidTr="00B55EE7">
        <w:tc>
          <w:tcPr>
            <w:tcW w:w="955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CC7F81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Lớp</w:t>
            </w:r>
            <w:proofErr w:type="spellEnd"/>
          </w:p>
        </w:tc>
        <w:tc>
          <w:tcPr>
            <w:tcW w:w="104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44BDB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Sĩ</w:t>
            </w:r>
            <w:proofErr w:type="spellEnd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số</w:t>
            </w:r>
            <w:proofErr w:type="spellEnd"/>
          </w:p>
        </w:tc>
        <w:tc>
          <w:tcPr>
            <w:tcW w:w="2489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1F0226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Tốt</w:t>
            </w:r>
            <w:proofErr w:type="spellEnd"/>
          </w:p>
        </w:tc>
        <w:tc>
          <w:tcPr>
            <w:tcW w:w="234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253BB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Khá</w:t>
            </w:r>
            <w:proofErr w:type="spellEnd"/>
          </w:p>
        </w:tc>
        <w:tc>
          <w:tcPr>
            <w:tcW w:w="261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73044D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Đạt</w:t>
            </w:r>
          </w:p>
        </w:tc>
      </w:tr>
      <w:tr w:rsidR="00A339B2" w:rsidRPr="00B55EE7" w14:paraId="31FD10A9" w14:textId="77777777" w:rsidTr="00B55EE7">
        <w:tc>
          <w:tcPr>
            <w:tcW w:w="955" w:type="dxa"/>
            <w:vMerge/>
            <w:shd w:val="clear" w:color="auto" w:fill="FFFFFF"/>
            <w:vAlign w:val="bottom"/>
            <w:hideMark/>
          </w:tcPr>
          <w:p w14:paraId="34CB65F2" w14:textId="77777777" w:rsidR="00A4478B" w:rsidRPr="00A4478B" w:rsidRDefault="00A4478B" w:rsidP="00E37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8" w:type="dxa"/>
            <w:vMerge/>
            <w:shd w:val="clear" w:color="auto" w:fill="FFFFFF"/>
            <w:vAlign w:val="bottom"/>
            <w:hideMark/>
          </w:tcPr>
          <w:p w14:paraId="7A12B6C6" w14:textId="77777777" w:rsidR="00A4478B" w:rsidRPr="00A4478B" w:rsidRDefault="00A4478B" w:rsidP="00E37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FABD2C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SL</w:t>
            </w:r>
          </w:p>
        </w:tc>
        <w:tc>
          <w:tcPr>
            <w:tcW w:w="12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8028C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C68C3A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SL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FE5EF8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8E1806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SL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C8668" w14:textId="77777777" w:rsidR="00A4478B" w:rsidRPr="00A4478B" w:rsidRDefault="00A4478B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TL</w:t>
            </w:r>
          </w:p>
        </w:tc>
      </w:tr>
      <w:tr w:rsidR="00A339B2" w:rsidRPr="00B55EE7" w14:paraId="08D80512" w14:textId="77777777" w:rsidTr="00B55EE7">
        <w:tc>
          <w:tcPr>
            <w:tcW w:w="9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74E4CE" w14:textId="77777777" w:rsidR="00A4478B" w:rsidRPr="00A4478B" w:rsidRDefault="00A4478B" w:rsidP="00E378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AA2A2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</w:p>
        </w:tc>
        <w:tc>
          <w:tcPr>
            <w:tcW w:w="12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DD4A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</w:p>
        </w:tc>
        <w:tc>
          <w:tcPr>
            <w:tcW w:w="12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92EBAC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7EE64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31420E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FD0C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84266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%</w:t>
            </w:r>
          </w:p>
        </w:tc>
      </w:tr>
      <w:tr w:rsidR="00A339B2" w:rsidRPr="00B55EE7" w14:paraId="2C5B6950" w14:textId="77777777" w:rsidTr="00B55EE7">
        <w:tc>
          <w:tcPr>
            <w:tcW w:w="9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4737FD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3BC47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2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EC1398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2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B8815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5C4C3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9A397E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9C69A5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8DB4BC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A339B2" w:rsidRPr="00B55EE7" w14:paraId="79A7E0A0" w14:textId="77777777" w:rsidTr="00B55EE7">
        <w:tc>
          <w:tcPr>
            <w:tcW w:w="9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E3F3CF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0D2C8F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2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73340E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2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0C936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40B6F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7940B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72112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C766B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A339B2" w:rsidRPr="00B55EE7" w14:paraId="1B8CF332" w14:textId="77777777" w:rsidTr="00B55EE7">
        <w:tc>
          <w:tcPr>
            <w:tcW w:w="9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6160C6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04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A4F25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26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4AEF4C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2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CAFA9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FB8336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….</w:t>
            </w:r>
          </w:p>
        </w:tc>
        <w:tc>
          <w:tcPr>
            <w:tcW w:w="10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5963F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  <w:tc>
          <w:tcPr>
            <w:tcW w:w="12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1AA61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B22D9F" w14:textId="77777777" w:rsidR="00A4478B" w:rsidRPr="00A4478B" w:rsidRDefault="00A339B2" w:rsidP="00E378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…</w:t>
            </w:r>
            <w:r w:rsidR="00A4478B" w:rsidRPr="00A447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</w:tbl>
    <w:p w14:paraId="095A951E" w14:textId="2B66C848" w:rsidR="00A4478B" w:rsidRPr="00E378E9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</w:p>
    <w:p w14:paraId="73174C1A" w14:textId="77777777" w:rsidR="00A4478B" w:rsidRPr="00E378E9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E37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vi-VN"/>
          <w14:ligatures w14:val="none"/>
        </w:rPr>
        <w:t>3. Đánh giá chung</w:t>
      </w:r>
    </w:p>
    <w:p w14:paraId="5FCF8817" w14:textId="77777777" w:rsidR="00A4478B" w:rsidRPr="00E378E9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E378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vi-VN"/>
          <w14:ligatures w14:val="none"/>
        </w:rPr>
        <w:lastRenderedPageBreak/>
        <w:t>3.1. Ưu điểm</w:t>
      </w:r>
    </w:p>
    <w:p w14:paraId="37A4C3EE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CT GDPT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-202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</w:t>
      </w:r>
    </w:p>
    <w:p w14:paraId="46FD58AD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Thông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22/2021/TT-BGDĐT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03FCF2D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2AFB9B29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CSVC, TTBDH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tất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</w:p>
    <w:p w14:paraId="117C3503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vững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SGK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</w:t>
      </w:r>
      <w:r w:rsid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</w:t>
      </w:r>
      <w:proofErr w:type="gram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-202</w:t>
      </w:r>
      <w:r w:rsid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50A7008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3.2.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Hạn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chế</w:t>
      </w:r>
      <w:proofErr w:type="spellEnd"/>
    </w:p>
    <w:p w14:paraId="5C78C8BB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KHTN, HĐTN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lúng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túng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</w:p>
    <w:p w14:paraId="20B9A85E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D7CF059" w14:textId="77777777" w:rsidR="00A4478B" w:rsidRPr="00A4478B" w:rsidRDefault="00A4478B" w:rsidP="00E378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3.3.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Giải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pháp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khắc</w:t>
      </w:r>
      <w:proofErr w:type="spellEnd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phục</w:t>
      </w:r>
      <w:proofErr w:type="spellEnd"/>
    </w:p>
    <w:p w14:paraId="0D1D43C7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Tiếp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CT GDPT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- 202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6BDDAAC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proofErr w:type="gram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</w:t>
      </w:r>
      <w:proofErr w:type="gram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</w:p>
    <w:p w14:paraId="2C7AC6DC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Tăng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dõi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SGK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-202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</w:p>
    <w:p w14:paraId="7D2BBF9C" w14:textId="77777777" w:rsidR="00A4478B" w:rsidRPr="00A4478B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Tiếp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Thông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22/2021/TT-BGD ĐT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EB14032" w14:textId="211E463A" w:rsidR="00A339B2" w:rsidRPr="00E378E9" w:rsidRDefault="00A4478B" w:rsidP="00E378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vi-VN"/>
          <w14:ligatures w14:val="none"/>
        </w:rPr>
      </w:pP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Tranh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CMHS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nâng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chữa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CSVC,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sắm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kịp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CT GDPT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-202</w:t>
      </w:r>
      <w:r w:rsidR="00A339B2" w:rsidRPr="00B55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Pr="00A447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0F8B201" w14:textId="77777777" w:rsidR="00A4478B" w:rsidRPr="00B55EE7" w:rsidRDefault="00A4478B" w:rsidP="00E378E9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V. ĐỀ XUẤT: </w:t>
      </w:r>
      <w:proofErr w:type="spellStart"/>
      <w:r w:rsidRPr="00A447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không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5EE7" w:rsidRPr="00B55EE7" w14:paraId="5B9985E9" w14:textId="77777777" w:rsidTr="00B55EE7">
        <w:tc>
          <w:tcPr>
            <w:tcW w:w="4675" w:type="dxa"/>
          </w:tcPr>
          <w:p w14:paraId="7FD1A34E" w14:textId="77777777" w:rsidR="00B55EE7" w:rsidRPr="00B55EE7" w:rsidRDefault="00B55EE7" w:rsidP="00E378E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675" w:type="dxa"/>
          </w:tcPr>
          <w:p w14:paraId="2872EA76" w14:textId="4818EBC1" w:rsidR="00B55EE7" w:rsidRPr="00B55EE7" w:rsidRDefault="00E378E9" w:rsidP="00E378E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  <w:t>......</w:t>
            </w:r>
            <w:r w:rsidR="00B55EE7"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="00B55EE7"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ngày</w:t>
            </w:r>
            <w:proofErr w:type="spellEnd"/>
            <w:proofErr w:type="gramStart"/>
            <w:r w:rsidR="00B55EE7"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…..</w:t>
            </w:r>
            <w:proofErr w:type="spellStart"/>
            <w:proofErr w:type="gramEnd"/>
            <w:r w:rsidR="00B55EE7"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tháng</w:t>
            </w:r>
            <w:proofErr w:type="spellEnd"/>
            <w:r w:rsidR="00B55EE7"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….</w:t>
            </w:r>
            <w:proofErr w:type="spellStart"/>
            <w:r w:rsidR="00B55EE7"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năm</w:t>
            </w:r>
            <w:proofErr w:type="spellEnd"/>
            <w:r w:rsidR="00B55EE7" w:rsidRPr="00B55E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…..</w:t>
            </w:r>
          </w:p>
        </w:tc>
      </w:tr>
      <w:tr w:rsidR="00B55EE7" w:rsidRPr="00B55EE7" w14:paraId="10A54C29" w14:textId="77777777" w:rsidTr="00B55EE7">
        <w:tc>
          <w:tcPr>
            <w:tcW w:w="4675" w:type="dxa"/>
          </w:tcPr>
          <w:p w14:paraId="2BB31BB4" w14:textId="77777777" w:rsidR="00B55EE7" w:rsidRPr="00B55EE7" w:rsidRDefault="00B55EE7" w:rsidP="00E378E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675" w:type="dxa"/>
          </w:tcPr>
          <w:p w14:paraId="113A9CFD" w14:textId="77777777" w:rsidR="00B55EE7" w:rsidRPr="00B55EE7" w:rsidRDefault="00B55EE7" w:rsidP="00E378E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Hiệu </w:t>
            </w:r>
            <w:proofErr w:type="spellStart"/>
            <w:r w:rsidRPr="00A447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trưởng</w:t>
            </w:r>
            <w:proofErr w:type="spellEnd"/>
          </w:p>
        </w:tc>
      </w:tr>
      <w:tr w:rsidR="00B55EE7" w:rsidRPr="00B55EE7" w14:paraId="660668A0" w14:textId="77777777" w:rsidTr="00B55EE7">
        <w:tc>
          <w:tcPr>
            <w:tcW w:w="4675" w:type="dxa"/>
          </w:tcPr>
          <w:p w14:paraId="306787DA" w14:textId="77777777" w:rsidR="00B55EE7" w:rsidRPr="00B55EE7" w:rsidRDefault="00B55EE7" w:rsidP="00E378E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675" w:type="dxa"/>
          </w:tcPr>
          <w:p w14:paraId="0ED39090" w14:textId="77777777" w:rsidR="00B55EE7" w:rsidRPr="00B55EE7" w:rsidRDefault="00B55EE7" w:rsidP="00E378E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55D9A09" w14:textId="77777777" w:rsidR="00B55EE7" w:rsidRPr="00B55EE7" w:rsidRDefault="00B55EE7" w:rsidP="00E378E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2EB2E2D" w14:textId="77777777" w:rsidR="00B55EE7" w:rsidRPr="00B55EE7" w:rsidRDefault="00B55EE7" w:rsidP="00E378E9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574533" w14:textId="27342911" w:rsidR="00B55EE7" w:rsidRPr="00B55EE7" w:rsidRDefault="00B55EE7" w:rsidP="00E378E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</w:tr>
    </w:tbl>
    <w:p w14:paraId="1EE8BDAF" w14:textId="77777777" w:rsidR="00685E75" w:rsidRPr="00B55EE7" w:rsidRDefault="00685E75" w:rsidP="00B55E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85E75" w:rsidRPr="00B55EE7" w:rsidSect="00A33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0A"/>
    <w:rsid w:val="001176A8"/>
    <w:rsid w:val="00401532"/>
    <w:rsid w:val="005175F4"/>
    <w:rsid w:val="00685E75"/>
    <w:rsid w:val="006A2AA8"/>
    <w:rsid w:val="00750EB3"/>
    <w:rsid w:val="00866973"/>
    <w:rsid w:val="0093440A"/>
    <w:rsid w:val="009A7D14"/>
    <w:rsid w:val="00A339B2"/>
    <w:rsid w:val="00A4478B"/>
    <w:rsid w:val="00B55EE7"/>
    <w:rsid w:val="00C42DA8"/>
    <w:rsid w:val="00CD1381"/>
    <w:rsid w:val="00E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4B3AAC"/>
  <w15:docId w15:val="{4D295089-7A7F-4E66-8DBE-46730EF8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44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3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AA8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A2AA8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6A2AA8"/>
  </w:style>
  <w:style w:type="paragraph" w:styleId="NoSpacing">
    <w:name w:val="No Spacing"/>
    <w:uiPriority w:val="1"/>
    <w:qFormat/>
    <w:rsid w:val="006A2A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23D4-4715-4C1F-BE31-0322BD63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Nhân Thành PTSP TVNĐ</dc:creator>
  <cp:keywords/>
  <dc:description/>
  <cp:lastModifiedBy>Hiền Thúy TV NS</cp:lastModifiedBy>
  <cp:revision>3</cp:revision>
  <dcterms:created xsi:type="dcterms:W3CDTF">2025-05-09T04:45:00Z</dcterms:created>
  <dcterms:modified xsi:type="dcterms:W3CDTF">2025-05-09T04:51:00Z</dcterms:modified>
</cp:coreProperties>
</file>