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83FE" w14:textId="630C177E" w:rsidR="00E80AC4" w:rsidRPr="00DC1170" w:rsidRDefault="00E80AC4" w:rsidP="007328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hụ lục</w:t>
      </w: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</w:t>
      </w:r>
    </w:p>
    <w:p w14:paraId="6C30BC2F" w14:textId="77777777" w:rsidR="00EC536E" w:rsidRPr="00DC1170" w:rsidRDefault="00E80AC4" w:rsidP="007328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DANH MỤC CƠ SỞ </w:t>
      </w:r>
    </w:p>
    <w:p w14:paraId="7D949941" w14:textId="7F39EC72" w:rsidR="00E80AC4" w:rsidRPr="00DC1170" w:rsidRDefault="00E80AC4" w:rsidP="007328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THUỘC DIỆN</w:t>
      </w:r>
      <w:r w:rsidR="00EC536E" w:rsidRPr="00DC117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QUẢN LÝ VỀ PHÒNG CHÁY, CHỮA CHÁY</w:t>
      </w:r>
    </w:p>
    <w:p w14:paraId="19283DF3" w14:textId="135CDCAC" w:rsidR="0073287C" w:rsidRPr="00DC1170" w:rsidRDefault="00E80AC4" w:rsidP="0073287C">
      <w:pPr>
        <w:snapToGrid w:val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(Kèm theo Nghị định số </w:t>
      </w:r>
      <w:r w:rsidR="0017594E" w:rsidRPr="00DC117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105</w:t>
      </w: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/2025/NĐ-CP </w:t>
      </w:r>
    </w:p>
    <w:p w14:paraId="48C84208" w14:textId="14565186" w:rsidR="00E80AC4" w:rsidRPr="00DC1170" w:rsidRDefault="00E80AC4" w:rsidP="0073287C">
      <w:pPr>
        <w:snapToGrid w:val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ngày </w:t>
      </w:r>
      <w:r w:rsidR="0017594E" w:rsidRPr="00DC117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15</w:t>
      </w: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tháng</w:t>
      </w:r>
      <w:r w:rsidR="0073287C" w:rsidRPr="00DC117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5 </w:t>
      </w: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>năm 2025 của Chính phủ)</w:t>
      </w:r>
    </w:p>
    <w:p w14:paraId="283DE2CE" w14:textId="6BAD2BEB" w:rsidR="0073287C" w:rsidRPr="00DC1170" w:rsidRDefault="0073287C" w:rsidP="0073287C">
      <w:pPr>
        <w:snapToGrid w:val="0"/>
        <w:jc w:val="center"/>
        <w:rPr>
          <w:rFonts w:ascii="Times New Roman" w:hAnsi="Times New Roman" w:cs="Times New Roman"/>
          <w:i/>
          <w:iCs/>
          <w:color w:val="auto"/>
          <w:spacing w:val="-8"/>
          <w:sz w:val="28"/>
          <w:szCs w:val="28"/>
          <w:vertAlign w:val="superscript"/>
          <w:lang w:val="en-US"/>
        </w:rPr>
      </w:pPr>
      <w:r w:rsidRPr="00DC1170">
        <w:rPr>
          <w:rFonts w:ascii="Times New Roman" w:hAnsi="Times New Roman" w:cs="Times New Roman"/>
          <w:i/>
          <w:iCs/>
          <w:color w:val="auto"/>
          <w:spacing w:val="-8"/>
          <w:sz w:val="28"/>
          <w:szCs w:val="28"/>
          <w:vertAlign w:val="superscript"/>
          <w:lang w:val="en-US"/>
        </w:rPr>
        <w:t>______________</w:t>
      </w:r>
    </w:p>
    <w:p w14:paraId="19FC734D" w14:textId="77777777" w:rsidR="005B334B" w:rsidRPr="00DC1170" w:rsidRDefault="005B334B" w:rsidP="0073287C">
      <w:pPr>
        <w:spacing w:line="340" w:lineRule="exact"/>
        <w:ind w:firstLine="567"/>
        <w:jc w:val="both"/>
        <w:rPr>
          <w:rFonts w:ascii="Times New Roman" w:hAnsi="Times New Roman" w:cs="Times New Roman"/>
          <w:color w:val="auto"/>
          <w:sz w:val="8"/>
          <w:szCs w:val="28"/>
          <w:lang w:val="en-US"/>
        </w:rPr>
      </w:pPr>
    </w:p>
    <w:p w14:paraId="7D27B727" w14:textId="7411D3B8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</w:rPr>
        <w:t>Cơ sở thuộc diện quản lý về phòng cháy, chữa cháy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là các cơ sở được quy định tại khoản 7 Điều 2 Luật Phòng cháy, chữa cháy và cứu nạn, cứu hộ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, gồm:</w:t>
      </w:r>
    </w:p>
    <w:p w14:paraId="77AA5B29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</w:rPr>
        <w:t>1. Nhà chung cư; nhà ở tập thể.</w:t>
      </w:r>
    </w:p>
    <w:p w14:paraId="26EF5441" w14:textId="77777777" w:rsidR="00142C66" w:rsidRPr="00DC1170" w:rsidRDefault="00142C66" w:rsidP="0073287C">
      <w:pPr>
        <w:spacing w:before="160"/>
        <w:ind w:firstLine="567"/>
        <w:jc w:val="both"/>
        <w:rPr>
          <w:rFonts w:ascii="Times New Roman" w:hAnsi="Times New Roman" w:cs="Times New Roman"/>
          <w:strike/>
          <w:color w:val="auto"/>
          <w:spacing w:val="-2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2.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N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>hà trẻ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trường mẫu giáo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trường mầm non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trường tiểu học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;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trường trung học cơ sở; trường trung học phổ thông; trường phổ thông có nhiều cấp học; trường đại học, trường cao đẳng; trường trung học chuyên nghiệp; trường dạy nghề; trường công nhân kỹ thuật;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cơ sở giáo dục khác theo quy định của pháp luật về giáo dục.</w:t>
      </w:r>
    </w:p>
    <w:p w14:paraId="659C0A09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3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C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>ơ sở nghiên cứu vũ trụ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,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>trung tâm cơ sở dữ liệu chuyên ngành và cơ sở nghiên cứu chuyên ngành khác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có nhà cao từ 2 tầng trở lên hoặc có tổng diện tích sàn từ 300 m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trở lên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2E39F34E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Bệnh viện; phòng khám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(đa khoa hoặc chuyên khoa),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trạm y tế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hộ sinh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cơ sở phòng chống dịch bệnh, cơ sở nghiên cứu, thí nghiệm chuyên ngành y tế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điều dưỡng, phục hồi chức năng, chỉnh hình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dưỡng lão và cơ sở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y tế khác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theo Luật Khám bệnh, chữa bệnh có</w:t>
      </w:r>
      <w:r w:rsidRPr="00DC11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nhà cao từ </w:t>
      </w:r>
      <w:r w:rsidRPr="00DC117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2</w:t>
      </w:r>
      <w:r w:rsidRPr="00DC11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tầng </w:t>
      </w:r>
      <w:r w:rsidRPr="00DC117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trở lên hoặc có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tổng diện tích sàn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0037D0BB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Sân vận động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nhà thi đấu, nhà tập luyện các môn thể thao, bể bơi, sân thi đấu các môn thể thao có khán đài;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trường đua, trường bắn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cơ sở thể thao khác được thành lập theo Luật Thể dục, thể thao có nhà cao từ 2 tầng trở lên hoặc có tổng diện tích sàn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784F3DCB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6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hát, rạp chiếu phim, rạp xiếc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130286DE" w14:textId="43FA850E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7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Trung tâm hội nghị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ảo tàng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hư viện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nhà trưng bày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triển lãm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nhà văn hóa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từ 100 chỗ ngồi trở lên.</w:t>
      </w:r>
    </w:p>
    <w:p w14:paraId="62FCA6B9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8. Thủy cung; cơ sở kinh doanh dịch vụ k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araoke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vũ trường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cơ sở kinh doanh dịch vụ vui chơi, giải trí; cơ sở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biểu diễn nghệ thuật, hoạt động văn hóa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khác có tổng diện tích sàn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1194EA44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9. Cơ sở tôn giáo; cơ sở tín ngưỡng (trừ nhà thờ dòng họ) cao từ 2 tầng trở lên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lên; công trình d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i tích lịch sử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- văn hóa cấp tỉnh trở lên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EBEB20" w14:textId="77777777" w:rsidR="00E31C18" w:rsidRPr="00DC1170" w:rsidRDefault="00E31C18" w:rsidP="0073287C">
      <w:pPr>
        <w:spacing w:before="180"/>
        <w:ind w:firstLine="567"/>
        <w:jc w:val="both"/>
        <w:rPr>
          <w:color w:val="auto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10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Chợ; trung tâm thương mại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s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iêu thị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A7FBD9" w14:textId="7CCF5455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11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Cơ sở kinh doanh dịch vụ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ăn uống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cơ sở kinh doanh dịch vụ khác theo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quy định của pháp luật có tổng diện tích phục vụ kinh doanh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207589C7" w14:textId="7D543055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12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Cơ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sở kinh doanh hàng hóa</w:t>
      </w:r>
      <w:r w:rsidR="007B5F84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dễ cháy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có tổng diện tích phục vụ kinh doanh từ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30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cơ sở kinh doanh hàng hóa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khó cháy hoặc hàng hóa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không cháy đựng trong bao bì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dễ cháy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có tổng diện tích phục vụ kinh doanh từ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300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583357E1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13. 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ơ sở kinh doanh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khí đốt; 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ửa hàng xăng dầu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44BF429B" w14:textId="5061495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14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Khách sạn, nhà khách, nhà nghỉ; cơ sở nghỉ dưỡng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cơ sở dịch vụ lưu trú khác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cao từ 2 tầng trở lên hoặc có tổng diện tích sàn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6B156A" w14:textId="435C728B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15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Bưu điện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bưu cục, cơ sở cung cấp dịch vụ bưu chính, viễn thông khác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cao từ 2 tầng trở lên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3F216CEF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16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Trụ sở làm việc của cơ quan nhà nước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trụ sở, nhà làm việc của doanh nghiệp, tổ chức chính trị, xã hội cao từ 2 tầng trở lên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005CD62F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17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Nhà đa năng, nhà hỗn hợp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có từ 2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tầng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trở lên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trừ nhà ở kết hợp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sản xuất,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kinh doanh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49175E3" w14:textId="139E840B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18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Nhà máy lọc dầu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nhà máy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hóa dầu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nhà máy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lọc</w:t>
      </w:r>
      <w:r w:rsidR="00F64F5B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hóa dầu; nhà máy chế biến khí; nhà máy sản xuất nhiên liệu sinh học; kho chứa dầu mỏ, sản phẩm dầu mỏ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kho chứa khí hóa lỏng; trạm chiết nạp khí hóa lỏng; trạm phân phối khí đốt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5B642A68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19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Nhà máy điện; trạm biến áp có điện áp từ 110 kV trở lên.</w:t>
      </w:r>
    </w:p>
    <w:p w14:paraId="2CBBAEAF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20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Cơ sở sản xuất vật liệu nổ, tiền chất thuốc nổ công nghiệp, vũ khí, công cụ hỗ trợ; kho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cố định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chứa vật liệu nổ, tiền chất thuốc nổ công nghiệp, vũ khí, công cụ hỗ trợ.</w:t>
      </w:r>
    </w:p>
    <w:p w14:paraId="37294D89" w14:textId="7C34017C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21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Cơ sở sản xuất công nghiệp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</w:t>
      </w:r>
      <w:r w:rsidR="00FE59A1" w:rsidRPr="00DC1170">
        <w:rPr>
          <w:rFonts w:ascii="Times New Roman" w:hAnsi="Times New Roman" w:cs="Times New Roman"/>
          <w:color w:val="auto"/>
          <w:sz w:val="28"/>
          <w:szCs w:val="28"/>
        </w:rPr>
        <w:t>nhà phục vụ sản xuất</w:t>
      </w:r>
      <w:r w:rsidR="00FE59A1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thuộc</w:t>
      </w:r>
      <w:r w:rsidR="00FE59A1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hạng nguy hiểm </w:t>
      </w:r>
      <w:r w:rsidR="002C18DE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nổ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A, B;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</w:rPr>
        <w:t>ơ sở sản xuất công nghiệp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</w:rPr>
        <w:t>nhà phục vụ sản xuất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thuộc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hạng nguy hiểm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C;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ơ sở sản xuất công nghiệp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</w:t>
      </w:r>
      <w:r w:rsidR="00902B30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phục vụ sản xuất</w:t>
      </w:r>
      <w:r w:rsidR="00902B3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thuộc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hạng nguy hiểm </w:t>
      </w:r>
      <w:r w:rsidR="002C18DE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D, E có tổng khối tích từ 2.500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3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 hoặc tổng diện tích sàn từ 500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46905211" w14:textId="4FFCDF0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22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Kho d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ự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trữ quốc gia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k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ho chứa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hàng hóa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hạng nguy hiểm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và cháy nổ </w:t>
      </w:r>
      <w:r w:rsidR="00AA043C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A,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B; 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k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ho chứa 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hàng hóa có hạng nguy hiểm 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C;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kho chứa hàng hóa có hạng nguy hiểm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D, E có tổng khối tích từ 2.500 m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3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 hoặc tổng diện tích sàn từ 500 m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="00AA043C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14:paraId="29A93317" w14:textId="263CFF20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23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Nhà để xe ô tô, xe máy,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nhà trưng bày 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</w:rPr>
        <w:t>ô tô, xe máy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có diện tích từ 100 m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trở lên.</w:t>
      </w:r>
    </w:p>
    <w:p w14:paraId="5B19B5D2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24. Nhà máy nước, nhà máy xử lý chất thải.</w:t>
      </w:r>
    </w:p>
    <w:p w14:paraId="04612989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25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Nhà ga hành khách, nhà khách phục vụ ngoại giao, nhà ga hàng hóa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lastRenderedPageBreak/>
        <w:t>thuộc cảng hàng không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kỹ thuật máy bay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đài kiểm soát không lưu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1E8323FE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26.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Cảng, bến thủy nội địa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b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ến cảng biển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cảng cá; 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ảng cạn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28089C18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27.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Bến xe khách;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trung tâm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đăng kiểm phương tiện giao thông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trạm dừng nghỉ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h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ầm đường ô tô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có chiều dài từ 500 m trở lên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6D590FDF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28. N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hà ga hành khách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ga hàng hóa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đề - pô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(depot)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đường sắt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ga cáp treo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hầm đường sắt có chiều dài từ 500 m trở lên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hầm, n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hà ga hành khách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đề - pô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(depot)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đường sắt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đô thị.</w:t>
      </w:r>
    </w:p>
    <w:p w14:paraId="0CC2BEF9" w14:textId="7581AEBA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29. 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ơ sở sửa chữa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bảo dưỡng phương tiện giao thông cơ giới </w:t>
      </w:r>
      <w:r w:rsidR="00EE19A4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đường bộ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lên; cơ sở sửa chữa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phương tiện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thủy nội địa, tàu biển. </w:t>
      </w:r>
    </w:p>
    <w:p w14:paraId="26250BBC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30. Cơ sở hạt nhân.</w:t>
      </w:r>
    </w:p>
    <w:p w14:paraId="763FE464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31. Cơ sở trợ giúp xã hội cao từ 2 tầng trở lên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0C29B9E8" w14:textId="05C46CE2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32.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Nhà ở kết hợp sản xuất, kinh doanh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</w:t>
      </w:r>
      <w:r w:rsidR="00E95B7E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tổng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diện tích phục vụ sản xuất, kinh doanh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 </w:t>
      </w:r>
    </w:p>
    <w:p w14:paraId="37CDAA36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33.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Bãi chứa hàng hóa, vật tư, phế liệu cháy được có diện tích từ 500 m²</w:t>
      </w:r>
      <w:r w:rsidRPr="00DC1170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trở lên.</w:t>
      </w:r>
    </w:p>
    <w:p w14:paraId="6807A48B" w14:textId="35544955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34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Hạ tầng kỹ thuật của khu đô thị, khu nhà ở, khu công nghiệp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cụm công nghiệp, khu du lịch, khu nghiên cứu, đào tạo, khu thể dục, thể thao.</w:t>
      </w:r>
      <w:r w:rsidR="003E68FD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/.</w:t>
      </w:r>
    </w:p>
    <w:p w14:paraId="5164068E" w14:textId="0267A91E" w:rsidR="00635E40" w:rsidRPr="00DC1170" w:rsidRDefault="00635E40" w:rsidP="0073287C">
      <w:pPr>
        <w:widowControl/>
        <w:spacing w:before="120"/>
        <w:ind w:firstLine="567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</w:p>
    <w:sectPr w:rsidR="00635E40" w:rsidRPr="00DC1170" w:rsidSect="006B7D7B">
      <w:headerReference w:type="default" r:id="rId7"/>
      <w:pgSz w:w="11907" w:h="16840" w:code="9"/>
      <w:pgMar w:top="1418" w:right="1134" w:bottom="1134" w:left="1985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D186" w14:textId="77777777" w:rsidR="00D52E7D" w:rsidRDefault="00D52E7D" w:rsidP="001717DA">
      <w:r>
        <w:separator/>
      </w:r>
    </w:p>
  </w:endnote>
  <w:endnote w:type="continuationSeparator" w:id="0">
    <w:p w14:paraId="1F930DB3" w14:textId="77777777" w:rsidR="00D52E7D" w:rsidRDefault="00D52E7D" w:rsidP="0017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90CF" w14:textId="77777777" w:rsidR="00D52E7D" w:rsidRDefault="00D52E7D" w:rsidP="001717DA">
      <w:r>
        <w:separator/>
      </w:r>
    </w:p>
  </w:footnote>
  <w:footnote w:type="continuationSeparator" w:id="0">
    <w:p w14:paraId="3435A7AB" w14:textId="77777777" w:rsidR="00D52E7D" w:rsidRDefault="00D52E7D" w:rsidP="0017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9439119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30886C" w14:textId="4817854B" w:rsidR="001717DA" w:rsidRPr="001717DA" w:rsidRDefault="001717DA" w:rsidP="001717D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17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17D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17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717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17D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6C81"/>
    <w:multiLevelType w:val="multilevel"/>
    <w:tmpl w:val="CB9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33159"/>
    <w:multiLevelType w:val="multilevel"/>
    <w:tmpl w:val="E0D4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7D"/>
    <w:rsid w:val="00005E5D"/>
    <w:rsid w:val="0001705F"/>
    <w:rsid w:val="00017065"/>
    <w:rsid w:val="00026155"/>
    <w:rsid w:val="00030A66"/>
    <w:rsid w:val="00031AE0"/>
    <w:rsid w:val="00032009"/>
    <w:rsid w:val="00032108"/>
    <w:rsid w:val="00042A5D"/>
    <w:rsid w:val="000461CD"/>
    <w:rsid w:val="00055F94"/>
    <w:rsid w:val="00066EE6"/>
    <w:rsid w:val="000818A3"/>
    <w:rsid w:val="0008218B"/>
    <w:rsid w:val="00084C3D"/>
    <w:rsid w:val="00097644"/>
    <w:rsid w:val="000B5E62"/>
    <w:rsid w:val="000B7380"/>
    <w:rsid w:val="000C143B"/>
    <w:rsid w:val="000C265B"/>
    <w:rsid w:val="000F1205"/>
    <w:rsid w:val="00100986"/>
    <w:rsid w:val="0010244B"/>
    <w:rsid w:val="00107927"/>
    <w:rsid w:val="0011272F"/>
    <w:rsid w:val="0012028C"/>
    <w:rsid w:val="0013612F"/>
    <w:rsid w:val="00136C1C"/>
    <w:rsid w:val="00142C66"/>
    <w:rsid w:val="00153172"/>
    <w:rsid w:val="0016291D"/>
    <w:rsid w:val="001717DA"/>
    <w:rsid w:val="00172865"/>
    <w:rsid w:val="0017594E"/>
    <w:rsid w:val="00193978"/>
    <w:rsid w:val="00197D57"/>
    <w:rsid w:val="001A7822"/>
    <w:rsid w:val="001B6A6C"/>
    <w:rsid w:val="001C1390"/>
    <w:rsid w:val="001C7DAC"/>
    <w:rsid w:val="001E1EF0"/>
    <w:rsid w:val="001E2112"/>
    <w:rsid w:val="002021EC"/>
    <w:rsid w:val="00215AFA"/>
    <w:rsid w:val="00217903"/>
    <w:rsid w:val="00221EC0"/>
    <w:rsid w:val="00221EE4"/>
    <w:rsid w:val="002269BB"/>
    <w:rsid w:val="002308C0"/>
    <w:rsid w:val="00236007"/>
    <w:rsid w:val="00254B6B"/>
    <w:rsid w:val="002573A7"/>
    <w:rsid w:val="002573B9"/>
    <w:rsid w:val="00265D80"/>
    <w:rsid w:val="002742F5"/>
    <w:rsid w:val="00290DC0"/>
    <w:rsid w:val="0029591D"/>
    <w:rsid w:val="002B1C9F"/>
    <w:rsid w:val="002C18DE"/>
    <w:rsid w:val="002D7F2D"/>
    <w:rsid w:val="002F017D"/>
    <w:rsid w:val="002F1E01"/>
    <w:rsid w:val="002F2367"/>
    <w:rsid w:val="002F48F4"/>
    <w:rsid w:val="002F72E4"/>
    <w:rsid w:val="002F781F"/>
    <w:rsid w:val="003002DB"/>
    <w:rsid w:val="00301A03"/>
    <w:rsid w:val="00312552"/>
    <w:rsid w:val="00325DFC"/>
    <w:rsid w:val="00326E4C"/>
    <w:rsid w:val="00327A87"/>
    <w:rsid w:val="0033157C"/>
    <w:rsid w:val="00336FB6"/>
    <w:rsid w:val="0035034F"/>
    <w:rsid w:val="00353E76"/>
    <w:rsid w:val="00355861"/>
    <w:rsid w:val="00356DA3"/>
    <w:rsid w:val="00366A92"/>
    <w:rsid w:val="003779FB"/>
    <w:rsid w:val="003A7950"/>
    <w:rsid w:val="003B4C24"/>
    <w:rsid w:val="003B5696"/>
    <w:rsid w:val="003E129E"/>
    <w:rsid w:val="003E32C0"/>
    <w:rsid w:val="003E68FD"/>
    <w:rsid w:val="003F108C"/>
    <w:rsid w:val="003F2363"/>
    <w:rsid w:val="004052B2"/>
    <w:rsid w:val="004076C6"/>
    <w:rsid w:val="00413B59"/>
    <w:rsid w:val="0042130A"/>
    <w:rsid w:val="004259FF"/>
    <w:rsid w:val="0043330F"/>
    <w:rsid w:val="00441618"/>
    <w:rsid w:val="0044734C"/>
    <w:rsid w:val="004620BE"/>
    <w:rsid w:val="00465F0D"/>
    <w:rsid w:val="00467685"/>
    <w:rsid w:val="00474E65"/>
    <w:rsid w:val="00476A71"/>
    <w:rsid w:val="004827C4"/>
    <w:rsid w:val="00483598"/>
    <w:rsid w:val="00490820"/>
    <w:rsid w:val="004B00F0"/>
    <w:rsid w:val="004B2C0D"/>
    <w:rsid w:val="004B6A5B"/>
    <w:rsid w:val="004D16AC"/>
    <w:rsid w:val="004D4D00"/>
    <w:rsid w:val="004D6D1F"/>
    <w:rsid w:val="004F23A9"/>
    <w:rsid w:val="004F447D"/>
    <w:rsid w:val="004F4C50"/>
    <w:rsid w:val="005049A9"/>
    <w:rsid w:val="0051036B"/>
    <w:rsid w:val="0052553F"/>
    <w:rsid w:val="00525990"/>
    <w:rsid w:val="00534E65"/>
    <w:rsid w:val="0053649F"/>
    <w:rsid w:val="00537320"/>
    <w:rsid w:val="00542306"/>
    <w:rsid w:val="00544069"/>
    <w:rsid w:val="00544270"/>
    <w:rsid w:val="00547869"/>
    <w:rsid w:val="00552335"/>
    <w:rsid w:val="0056375F"/>
    <w:rsid w:val="0056752C"/>
    <w:rsid w:val="00570D41"/>
    <w:rsid w:val="00571DF0"/>
    <w:rsid w:val="00571FB8"/>
    <w:rsid w:val="005813EF"/>
    <w:rsid w:val="00584946"/>
    <w:rsid w:val="00590526"/>
    <w:rsid w:val="00593679"/>
    <w:rsid w:val="00594462"/>
    <w:rsid w:val="005A316C"/>
    <w:rsid w:val="005B334B"/>
    <w:rsid w:val="005B3B91"/>
    <w:rsid w:val="005C3F3F"/>
    <w:rsid w:val="005D732B"/>
    <w:rsid w:val="005E0469"/>
    <w:rsid w:val="005E582B"/>
    <w:rsid w:val="005E7AD4"/>
    <w:rsid w:val="00601F94"/>
    <w:rsid w:val="00603E56"/>
    <w:rsid w:val="00613E07"/>
    <w:rsid w:val="00620E92"/>
    <w:rsid w:val="00635CD1"/>
    <w:rsid w:val="00635E40"/>
    <w:rsid w:val="0064384A"/>
    <w:rsid w:val="00647BF8"/>
    <w:rsid w:val="00651BD9"/>
    <w:rsid w:val="00661AE4"/>
    <w:rsid w:val="00663DF5"/>
    <w:rsid w:val="00683D1A"/>
    <w:rsid w:val="006909C1"/>
    <w:rsid w:val="006B13BB"/>
    <w:rsid w:val="006B181D"/>
    <w:rsid w:val="006B37B1"/>
    <w:rsid w:val="006B7D7B"/>
    <w:rsid w:val="006C087F"/>
    <w:rsid w:val="006C7C1C"/>
    <w:rsid w:val="006D1AB2"/>
    <w:rsid w:val="006D523B"/>
    <w:rsid w:val="006E1FCA"/>
    <w:rsid w:val="006F224C"/>
    <w:rsid w:val="006F50F4"/>
    <w:rsid w:val="00700B75"/>
    <w:rsid w:val="00700FB7"/>
    <w:rsid w:val="00702B0D"/>
    <w:rsid w:val="0070535A"/>
    <w:rsid w:val="00711554"/>
    <w:rsid w:val="00717D4C"/>
    <w:rsid w:val="00726815"/>
    <w:rsid w:val="0073287C"/>
    <w:rsid w:val="0074103C"/>
    <w:rsid w:val="00754E76"/>
    <w:rsid w:val="00756A27"/>
    <w:rsid w:val="00756A55"/>
    <w:rsid w:val="00767540"/>
    <w:rsid w:val="00773BAA"/>
    <w:rsid w:val="00781FFB"/>
    <w:rsid w:val="007846F9"/>
    <w:rsid w:val="00792723"/>
    <w:rsid w:val="00792A09"/>
    <w:rsid w:val="007A70FE"/>
    <w:rsid w:val="007B1346"/>
    <w:rsid w:val="007B5F84"/>
    <w:rsid w:val="007D0AD3"/>
    <w:rsid w:val="007D2415"/>
    <w:rsid w:val="007D4E66"/>
    <w:rsid w:val="007F2B6E"/>
    <w:rsid w:val="00801BFF"/>
    <w:rsid w:val="00803BEB"/>
    <w:rsid w:val="00803C95"/>
    <w:rsid w:val="0081068C"/>
    <w:rsid w:val="00823D61"/>
    <w:rsid w:val="00831A53"/>
    <w:rsid w:val="00832742"/>
    <w:rsid w:val="00832CFC"/>
    <w:rsid w:val="00836B51"/>
    <w:rsid w:val="008548FD"/>
    <w:rsid w:val="00860A7E"/>
    <w:rsid w:val="008662FC"/>
    <w:rsid w:val="008669AB"/>
    <w:rsid w:val="0088558E"/>
    <w:rsid w:val="008926FF"/>
    <w:rsid w:val="00892C8F"/>
    <w:rsid w:val="008937DA"/>
    <w:rsid w:val="008A3743"/>
    <w:rsid w:val="008A64A2"/>
    <w:rsid w:val="008B421B"/>
    <w:rsid w:val="008B4488"/>
    <w:rsid w:val="008C105C"/>
    <w:rsid w:val="008C398B"/>
    <w:rsid w:val="008E34A9"/>
    <w:rsid w:val="008E6D0B"/>
    <w:rsid w:val="008F0497"/>
    <w:rsid w:val="009003D6"/>
    <w:rsid w:val="00902B30"/>
    <w:rsid w:val="00906E57"/>
    <w:rsid w:val="0092116E"/>
    <w:rsid w:val="00922819"/>
    <w:rsid w:val="00922E10"/>
    <w:rsid w:val="009406EB"/>
    <w:rsid w:val="00957BC6"/>
    <w:rsid w:val="0096286C"/>
    <w:rsid w:val="00964F13"/>
    <w:rsid w:val="009740E8"/>
    <w:rsid w:val="00975092"/>
    <w:rsid w:val="0098106E"/>
    <w:rsid w:val="00982D14"/>
    <w:rsid w:val="00991D47"/>
    <w:rsid w:val="00995BAE"/>
    <w:rsid w:val="009B27B9"/>
    <w:rsid w:val="009B7F1E"/>
    <w:rsid w:val="009E14C1"/>
    <w:rsid w:val="009E1DE6"/>
    <w:rsid w:val="009E4B92"/>
    <w:rsid w:val="00A03BB0"/>
    <w:rsid w:val="00A33D18"/>
    <w:rsid w:val="00A34DE6"/>
    <w:rsid w:val="00A378B1"/>
    <w:rsid w:val="00A408B0"/>
    <w:rsid w:val="00A42017"/>
    <w:rsid w:val="00A428E6"/>
    <w:rsid w:val="00A4312F"/>
    <w:rsid w:val="00A46F7A"/>
    <w:rsid w:val="00A503E2"/>
    <w:rsid w:val="00A5556C"/>
    <w:rsid w:val="00A555C4"/>
    <w:rsid w:val="00A60331"/>
    <w:rsid w:val="00A62E88"/>
    <w:rsid w:val="00A84112"/>
    <w:rsid w:val="00A85AAE"/>
    <w:rsid w:val="00A9145D"/>
    <w:rsid w:val="00A91600"/>
    <w:rsid w:val="00A94A1F"/>
    <w:rsid w:val="00AA043C"/>
    <w:rsid w:val="00AA0F6F"/>
    <w:rsid w:val="00AB1C7D"/>
    <w:rsid w:val="00AB7854"/>
    <w:rsid w:val="00AC58A9"/>
    <w:rsid w:val="00AD6BB1"/>
    <w:rsid w:val="00AE1CEC"/>
    <w:rsid w:val="00AE54E9"/>
    <w:rsid w:val="00AE5A2E"/>
    <w:rsid w:val="00AF06DA"/>
    <w:rsid w:val="00B02A75"/>
    <w:rsid w:val="00B0495F"/>
    <w:rsid w:val="00B14E02"/>
    <w:rsid w:val="00B17F13"/>
    <w:rsid w:val="00B3616A"/>
    <w:rsid w:val="00B36F3F"/>
    <w:rsid w:val="00B427DB"/>
    <w:rsid w:val="00B42B7A"/>
    <w:rsid w:val="00B44328"/>
    <w:rsid w:val="00B45B5D"/>
    <w:rsid w:val="00B50BF1"/>
    <w:rsid w:val="00B6313F"/>
    <w:rsid w:val="00B678F0"/>
    <w:rsid w:val="00B85999"/>
    <w:rsid w:val="00B90C24"/>
    <w:rsid w:val="00B9328E"/>
    <w:rsid w:val="00B952AA"/>
    <w:rsid w:val="00BA669F"/>
    <w:rsid w:val="00BA6D47"/>
    <w:rsid w:val="00BC505A"/>
    <w:rsid w:val="00BC7D60"/>
    <w:rsid w:val="00BD7FC7"/>
    <w:rsid w:val="00BE1952"/>
    <w:rsid w:val="00BF033C"/>
    <w:rsid w:val="00BF26D7"/>
    <w:rsid w:val="00BF39AB"/>
    <w:rsid w:val="00C0243E"/>
    <w:rsid w:val="00C03317"/>
    <w:rsid w:val="00C164B4"/>
    <w:rsid w:val="00C22272"/>
    <w:rsid w:val="00C247B3"/>
    <w:rsid w:val="00C265B8"/>
    <w:rsid w:val="00C33273"/>
    <w:rsid w:val="00C34583"/>
    <w:rsid w:val="00C43084"/>
    <w:rsid w:val="00C458D8"/>
    <w:rsid w:val="00C521CC"/>
    <w:rsid w:val="00C545A5"/>
    <w:rsid w:val="00C56F88"/>
    <w:rsid w:val="00C6075D"/>
    <w:rsid w:val="00C6167F"/>
    <w:rsid w:val="00C62333"/>
    <w:rsid w:val="00C66901"/>
    <w:rsid w:val="00C809E7"/>
    <w:rsid w:val="00C82576"/>
    <w:rsid w:val="00C84B93"/>
    <w:rsid w:val="00CB0DFC"/>
    <w:rsid w:val="00CB40DE"/>
    <w:rsid w:val="00CB7FAF"/>
    <w:rsid w:val="00CD12B7"/>
    <w:rsid w:val="00CD5459"/>
    <w:rsid w:val="00CE2962"/>
    <w:rsid w:val="00CF10FF"/>
    <w:rsid w:val="00CF7AD6"/>
    <w:rsid w:val="00D322BE"/>
    <w:rsid w:val="00D35261"/>
    <w:rsid w:val="00D40A49"/>
    <w:rsid w:val="00D50FB5"/>
    <w:rsid w:val="00D52E7D"/>
    <w:rsid w:val="00D572E7"/>
    <w:rsid w:val="00D75645"/>
    <w:rsid w:val="00D8356E"/>
    <w:rsid w:val="00D87D91"/>
    <w:rsid w:val="00DA48DB"/>
    <w:rsid w:val="00DB0C80"/>
    <w:rsid w:val="00DB222D"/>
    <w:rsid w:val="00DB7022"/>
    <w:rsid w:val="00DC1170"/>
    <w:rsid w:val="00DC3B18"/>
    <w:rsid w:val="00DE152F"/>
    <w:rsid w:val="00DF27C0"/>
    <w:rsid w:val="00E10A38"/>
    <w:rsid w:val="00E14E75"/>
    <w:rsid w:val="00E153EC"/>
    <w:rsid w:val="00E22F12"/>
    <w:rsid w:val="00E24004"/>
    <w:rsid w:val="00E31C18"/>
    <w:rsid w:val="00E33E40"/>
    <w:rsid w:val="00E41CC6"/>
    <w:rsid w:val="00E42A3B"/>
    <w:rsid w:val="00E536C1"/>
    <w:rsid w:val="00E551E9"/>
    <w:rsid w:val="00E70221"/>
    <w:rsid w:val="00E7033F"/>
    <w:rsid w:val="00E80AC4"/>
    <w:rsid w:val="00E876A5"/>
    <w:rsid w:val="00E95B7E"/>
    <w:rsid w:val="00EA1162"/>
    <w:rsid w:val="00EA512F"/>
    <w:rsid w:val="00EA59DF"/>
    <w:rsid w:val="00EA5CCE"/>
    <w:rsid w:val="00EB1020"/>
    <w:rsid w:val="00EC536E"/>
    <w:rsid w:val="00ED3028"/>
    <w:rsid w:val="00ED5296"/>
    <w:rsid w:val="00EE13FF"/>
    <w:rsid w:val="00EE19A4"/>
    <w:rsid w:val="00EE521A"/>
    <w:rsid w:val="00EF614F"/>
    <w:rsid w:val="00EF65D4"/>
    <w:rsid w:val="00EF6FCE"/>
    <w:rsid w:val="00EF73EA"/>
    <w:rsid w:val="00F10F26"/>
    <w:rsid w:val="00F12BA4"/>
    <w:rsid w:val="00F157EE"/>
    <w:rsid w:val="00F23613"/>
    <w:rsid w:val="00F30485"/>
    <w:rsid w:val="00F306C5"/>
    <w:rsid w:val="00F37D21"/>
    <w:rsid w:val="00F437B7"/>
    <w:rsid w:val="00F43A65"/>
    <w:rsid w:val="00F46173"/>
    <w:rsid w:val="00F51A4A"/>
    <w:rsid w:val="00F5397F"/>
    <w:rsid w:val="00F54AC4"/>
    <w:rsid w:val="00F64F5B"/>
    <w:rsid w:val="00F677F6"/>
    <w:rsid w:val="00F71495"/>
    <w:rsid w:val="00F739E6"/>
    <w:rsid w:val="00F74675"/>
    <w:rsid w:val="00F752F7"/>
    <w:rsid w:val="00FA2E67"/>
    <w:rsid w:val="00FB3C77"/>
    <w:rsid w:val="00FE59A1"/>
    <w:rsid w:val="00FF52FF"/>
    <w:rsid w:val="00FF7416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49DA"/>
  <w15:chartTrackingRefBased/>
  <w15:docId w15:val="{0D283C78-18D2-42E9-A614-2C92F93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DA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C7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C7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C7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C7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C7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C7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C7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C7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C7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C7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C7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C7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1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C7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1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C7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C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7DA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7DA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table" w:styleId="TableGrid">
    <w:name w:val="Table Grid"/>
    <w:basedOn w:val="TableNormal"/>
    <w:uiPriority w:val="39"/>
    <w:rsid w:val="004F23A9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1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693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583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3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72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6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07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4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5713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81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49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06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814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4056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92604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7352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2678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6242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12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4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711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5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2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1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9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9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02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67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40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03709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5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2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46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6535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28336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925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2966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790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9377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314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850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9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4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7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24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43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9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13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0573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5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04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0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1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64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5952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41620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1692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7666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152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03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824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1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74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2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47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8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54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29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492998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8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5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37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2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723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1148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8137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831839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0701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4898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Rin Thanh NS</cp:lastModifiedBy>
  <cp:revision>2</cp:revision>
  <cp:lastPrinted>2025-05-09T07:40:00Z</cp:lastPrinted>
  <dcterms:created xsi:type="dcterms:W3CDTF">2025-05-20T01:15:00Z</dcterms:created>
  <dcterms:modified xsi:type="dcterms:W3CDTF">2025-05-20T01:15:00Z</dcterms:modified>
</cp:coreProperties>
</file>